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982"/>
      </w:tblGrid>
      <w:tr w:rsidR="00CC775B" w14:paraId="4A09CCE7" w14:textId="77777777" w:rsidTr="00CC775B">
        <w:tc>
          <w:tcPr>
            <w:tcW w:w="8982" w:type="dxa"/>
            <w:tcBorders>
              <w:top w:val="nil"/>
              <w:left w:val="nil"/>
              <w:bottom w:val="nil"/>
              <w:right w:val="nil"/>
            </w:tcBorders>
          </w:tcPr>
          <w:p w14:paraId="0102231D" w14:textId="77777777" w:rsidR="00CC775B" w:rsidRDefault="00CC775B" w:rsidP="00CC775B">
            <w:pPr>
              <w:pStyle w:val="ESS-Guided"/>
            </w:pPr>
            <w:bookmarkStart w:id="0" w:name="_GoBack"/>
            <w:bookmarkEnd w:id="0"/>
          </w:p>
        </w:tc>
      </w:tr>
      <w:tr w:rsidR="00CC775B" w14:paraId="17038644" w14:textId="77777777" w:rsidTr="00CC775B">
        <w:tc>
          <w:tcPr>
            <w:tcW w:w="8982" w:type="dxa"/>
            <w:tcBorders>
              <w:top w:val="nil"/>
              <w:left w:val="nil"/>
              <w:bottom w:val="nil"/>
              <w:right w:val="nil"/>
            </w:tcBorders>
          </w:tcPr>
          <w:p w14:paraId="75068AB0" w14:textId="77777777" w:rsidR="00CC775B" w:rsidRDefault="00CC775B" w:rsidP="00CC775B">
            <w:pPr>
              <w:pStyle w:val="ESS-Guided"/>
            </w:pPr>
          </w:p>
        </w:tc>
      </w:tr>
      <w:tr w:rsidR="00CC775B" w14:paraId="7CACCEDD" w14:textId="77777777" w:rsidTr="00CC775B">
        <w:tc>
          <w:tcPr>
            <w:tcW w:w="8982" w:type="dxa"/>
            <w:tcBorders>
              <w:top w:val="nil"/>
              <w:left w:val="nil"/>
              <w:bottom w:val="nil"/>
              <w:right w:val="nil"/>
            </w:tcBorders>
          </w:tcPr>
          <w:p w14:paraId="7D4289C9" w14:textId="77777777" w:rsidR="00CC775B" w:rsidRDefault="00CC775B" w:rsidP="00CC775B">
            <w:pPr>
              <w:pStyle w:val="ESS-Guided"/>
            </w:pPr>
          </w:p>
        </w:tc>
      </w:tr>
      <w:tr w:rsidR="00CC775B" w14:paraId="7D3AAF9A" w14:textId="77777777" w:rsidTr="00CC775B">
        <w:tc>
          <w:tcPr>
            <w:tcW w:w="8982" w:type="dxa"/>
            <w:tcBorders>
              <w:top w:val="nil"/>
              <w:left w:val="nil"/>
              <w:bottom w:val="nil"/>
              <w:right w:val="nil"/>
            </w:tcBorders>
          </w:tcPr>
          <w:p w14:paraId="0C88F564" w14:textId="77777777" w:rsidR="00CC775B" w:rsidRDefault="00CC775B" w:rsidP="00CC775B">
            <w:pPr>
              <w:pStyle w:val="ESS-Guided"/>
            </w:pPr>
          </w:p>
        </w:tc>
      </w:tr>
      <w:tr w:rsidR="00CC775B" w14:paraId="08BCD685" w14:textId="77777777" w:rsidTr="00CC775B">
        <w:tc>
          <w:tcPr>
            <w:tcW w:w="8982" w:type="dxa"/>
            <w:tcBorders>
              <w:top w:val="nil"/>
              <w:left w:val="nil"/>
              <w:bottom w:val="nil"/>
              <w:right w:val="nil"/>
            </w:tcBorders>
          </w:tcPr>
          <w:p w14:paraId="4F6FA294" w14:textId="77777777" w:rsidR="00CC775B" w:rsidRDefault="00CC775B" w:rsidP="00CC775B">
            <w:pPr>
              <w:pStyle w:val="ESS-Guided"/>
            </w:pPr>
          </w:p>
        </w:tc>
      </w:tr>
      <w:tr w:rsidR="00CC775B" w14:paraId="3DA0E6C1" w14:textId="77777777" w:rsidTr="00CC775B">
        <w:tc>
          <w:tcPr>
            <w:tcW w:w="8982" w:type="dxa"/>
            <w:tcBorders>
              <w:top w:val="nil"/>
              <w:left w:val="nil"/>
              <w:bottom w:val="nil"/>
              <w:right w:val="nil"/>
            </w:tcBorders>
          </w:tcPr>
          <w:p w14:paraId="4F7E5C1F" w14:textId="77777777" w:rsidR="00CC775B" w:rsidRDefault="00CC775B" w:rsidP="00CC775B">
            <w:pPr>
              <w:pStyle w:val="ESS-Guided"/>
            </w:pPr>
          </w:p>
        </w:tc>
      </w:tr>
      <w:tr w:rsidR="00CC775B" w14:paraId="753158A0" w14:textId="77777777" w:rsidTr="00CC775B">
        <w:tc>
          <w:tcPr>
            <w:tcW w:w="8982" w:type="dxa"/>
            <w:tcBorders>
              <w:top w:val="nil"/>
              <w:left w:val="nil"/>
              <w:bottom w:val="thinThickSmallGap" w:sz="24" w:space="0" w:color="auto"/>
              <w:right w:val="nil"/>
            </w:tcBorders>
          </w:tcPr>
          <w:p w14:paraId="60C15D9E" w14:textId="77777777" w:rsidR="00CC775B" w:rsidRDefault="00CC775B" w:rsidP="00CC775B">
            <w:pPr>
              <w:pStyle w:val="ESS-Guided"/>
            </w:pPr>
          </w:p>
        </w:tc>
      </w:tr>
      <w:tr w:rsidR="00CC775B" w14:paraId="0F1AE9AD" w14:textId="77777777" w:rsidTr="00CC775B">
        <w:tc>
          <w:tcPr>
            <w:tcW w:w="8982" w:type="dxa"/>
            <w:tcBorders>
              <w:top w:val="thinThickSmallGap" w:sz="24" w:space="0" w:color="auto"/>
              <w:left w:val="nil"/>
              <w:bottom w:val="nil"/>
              <w:right w:val="nil"/>
            </w:tcBorders>
          </w:tcPr>
          <w:p w14:paraId="0121F75A" w14:textId="77777777" w:rsidR="00CC775B" w:rsidRDefault="00CC775B" w:rsidP="00CC775B">
            <w:pPr>
              <w:pStyle w:val="ESS-Guided"/>
            </w:pPr>
          </w:p>
        </w:tc>
      </w:tr>
      <w:tr w:rsidR="00CC775B" w14:paraId="45EA741C" w14:textId="77777777" w:rsidTr="00CC775B">
        <w:tc>
          <w:tcPr>
            <w:tcW w:w="8982" w:type="dxa"/>
            <w:tcBorders>
              <w:top w:val="nil"/>
              <w:left w:val="nil"/>
              <w:bottom w:val="nil"/>
              <w:right w:val="nil"/>
            </w:tcBorders>
          </w:tcPr>
          <w:p w14:paraId="16834B3F" w14:textId="1B7BB118" w:rsidR="00CC775B" w:rsidRDefault="00EE4AB7" w:rsidP="00CC775B">
            <w:pPr>
              <w:pStyle w:val="ESS-StudyTitle"/>
            </w:pPr>
            <w:r>
              <w:t>Dose assessment in the offices for zoning discussion</w:t>
            </w:r>
          </w:p>
        </w:tc>
      </w:tr>
      <w:tr w:rsidR="00CC775B" w14:paraId="0014AC6C" w14:textId="77777777" w:rsidTr="00CC775B">
        <w:tc>
          <w:tcPr>
            <w:tcW w:w="8982" w:type="dxa"/>
            <w:tcBorders>
              <w:top w:val="nil"/>
              <w:left w:val="nil"/>
              <w:bottom w:val="thickThinSmallGap" w:sz="24" w:space="0" w:color="auto"/>
              <w:right w:val="nil"/>
            </w:tcBorders>
          </w:tcPr>
          <w:p w14:paraId="4E752B8D" w14:textId="77777777" w:rsidR="00CC775B" w:rsidRDefault="00CC775B" w:rsidP="00CC775B">
            <w:pPr>
              <w:pStyle w:val="ESS-Guided"/>
            </w:pPr>
          </w:p>
        </w:tc>
      </w:tr>
      <w:tr w:rsidR="00CC775B" w14:paraId="6712AAA6" w14:textId="77777777" w:rsidTr="00CC775B">
        <w:tc>
          <w:tcPr>
            <w:tcW w:w="8982" w:type="dxa"/>
            <w:tcBorders>
              <w:top w:val="thickThinSmallGap" w:sz="24" w:space="0" w:color="auto"/>
              <w:left w:val="nil"/>
              <w:bottom w:val="nil"/>
              <w:right w:val="nil"/>
            </w:tcBorders>
          </w:tcPr>
          <w:p w14:paraId="342769CD" w14:textId="77777777" w:rsidR="00CC775B" w:rsidRDefault="00CC775B" w:rsidP="00CC775B">
            <w:pPr>
              <w:pStyle w:val="ESS-Guided"/>
            </w:pPr>
          </w:p>
        </w:tc>
      </w:tr>
    </w:tbl>
    <w:p w14:paraId="52298D3A" w14:textId="6200473F" w:rsidR="00CB4DA4" w:rsidRDefault="00CB4DA4" w:rsidP="00CB4DA4"/>
    <w:p w14:paraId="1F1BCBA1" w14:textId="77777777" w:rsidR="004F4C8F" w:rsidRDefault="004F4C8F" w:rsidP="007E6D3A"/>
    <w:tbl>
      <w:tblPr>
        <w:tblW w:w="5000" w:type="pct"/>
        <w:tblCellMar>
          <w:left w:w="70" w:type="dxa"/>
          <w:right w:w="70" w:type="dxa"/>
        </w:tblCellMar>
        <w:tblLook w:val="0000" w:firstRow="0" w:lastRow="0" w:firstColumn="0" w:lastColumn="0" w:noHBand="0" w:noVBand="0"/>
      </w:tblPr>
      <w:tblGrid>
        <w:gridCol w:w="1487"/>
        <w:gridCol w:w="2836"/>
        <w:gridCol w:w="4583"/>
      </w:tblGrid>
      <w:tr w:rsidR="00F13777" w:rsidRPr="00720902" w14:paraId="2628A5EE" w14:textId="77777777" w:rsidTr="00590145">
        <w:trPr>
          <w:cantSplit/>
          <w:tblHeader/>
        </w:trPr>
        <w:tc>
          <w:tcPr>
            <w:tcW w:w="835" w:type="pct"/>
            <w:tcBorders>
              <w:bottom w:val="single" w:sz="4" w:space="0" w:color="auto"/>
              <w:right w:val="single" w:sz="4" w:space="0" w:color="auto"/>
            </w:tcBorders>
            <w:shd w:val="clear" w:color="auto" w:fill="auto"/>
          </w:tcPr>
          <w:p w14:paraId="085FA600" w14:textId="77777777" w:rsidR="00F13777" w:rsidRPr="00720902" w:rsidRDefault="00F13777" w:rsidP="004F4C8F">
            <w:pPr>
              <w:pStyle w:val="ESS-TableHeader"/>
              <w:rPr>
                <w:sz w:val="20"/>
              </w:rPr>
            </w:pP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586FFE8D" w14:textId="77777777" w:rsidR="00F13777" w:rsidRPr="00720902" w:rsidRDefault="00F13777" w:rsidP="00F13777">
            <w:pPr>
              <w:pStyle w:val="ESS-TableHeader"/>
              <w:rPr>
                <w:sz w:val="20"/>
              </w:rPr>
            </w:pPr>
            <w:r w:rsidRPr="00720902">
              <w:rPr>
                <w:sz w:val="20"/>
              </w:rPr>
              <w:t>Name</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5B855C09" w14:textId="77777777" w:rsidR="00F13777" w:rsidRPr="00F13777" w:rsidRDefault="00F13777" w:rsidP="004F4C8F">
            <w:pPr>
              <w:pStyle w:val="ESS-TableText"/>
              <w:rPr>
                <w:b/>
                <w:sz w:val="20"/>
              </w:rPr>
            </w:pPr>
            <w:r w:rsidRPr="00F13777">
              <w:rPr>
                <w:b/>
                <w:sz w:val="20"/>
              </w:rPr>
              <w:t>Role/Title</w:t>
            </w:r>
          </w:p>
        </w:tc>
      </w:tr>
      <w:tr w:rsidR="00F13777" w:rsidRPr="00720902" w14:paraId="0C2F129A"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00725B14" w14:textId="77777777" w:rsidR="00F13777" w:rsidRPr="00720902" w:rsidRDefault="00F13777" w:rsidP="004F4C8F">
            <w:pPr>
              <w:pStyle w:val="ESS-TableText"/>
              <w:rPr>
                <w:b/>
                <w:sz w:val="20"/>
              </w:rPr>
            </w:pPr>
            <w:r w:rsidRPr="00720902">
              <w:rPr>
                <w:b/>
                <w:sz w:val="20"/>
              </w:rPr>
              <w:t>Owner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3E1CC9E9" w14:textId="0D12AE49" w:rsidR="00F13777" w:rsidRPr="00720902" w:rsidRDefault="00AD489F" w:rsidP="007E6D3A">
            <w:pPr>
              <w:pStyle w:val="ESS-TableText"/>
              <w:rPr>
                <w:sz w:val="20"/>
              </w:rPr>
            </w:pPr>
            <w:r>
              <w:rPr>
                <w:sz w:val="20"/>
              </w:rPr>
              <w:t>G</w:t>
            </w:r>
            <w:r w:rsidR="003538B3">
              <w:rPr>
                <w:sz w:val="20"/>
                <w:lang w:val="de-AT"/>
              </w:rPr>
              <w:t>ünter M</w:t>
            </w:r>
            <w:r>
              <w:rPr>
                <w:sz w:val="20"/>
                <w:lang w:val="de-AT"/>
              </w:rPr>
              <w:t>uhrer</w:t>
            </w:r>
            <w:r w:rsidR="00C573F4">
              <w:rPr>
                <w:sz w:val="20"/>
              </w:rPr>
              <w:t>.</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717AB999" w14:textId="3452B1DF" w:rsidR="00F13777" w:rsidRPr="00AD489F" w:rsidRDefault="00AD489F" w:rsidP="004F4C8F">
            <w:pPr>
              <w:pStyle w:val="ESS-TableText"/>
              <w:rPr>
                <w:sz w:val="20"/>
                <w:lang w:val="en-US"/>
              </w:rPr>
            </w:pPr>
            <w:r>
              <w:rPr>
                <w:sz w:val="20"/>
              </w:rPr>
              <w:t>ESS shield design coordinator</w:t>
            </w:r>
          </w:p>
        </w:tc>
      </w:tr>
      <w:tr w:rsidR="00F13777" w:rsidRPr="00720902" w14:paraId="0B052C4C"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04E966B4" w14:textId="77777777" w:rsidR="00F13777" w:rsidRPr="00720902" w:rsidRDefault="00F13777" w:rsidP="004F4C8F">
            <w:pPr>
              <w:pStyle w:val="ESS-TableText"/>
              <w:rPr>
                <w:b/>
                <w:sz w:val="20"/>
              </w:rPr>
            </w:pPr>
            <w:r w:rsidRPr="00720902">
              <w:rPr>
                <w:b/>
                <w:sz w:val="20"/>
              </w:rPr>
              <w:t>Reviewer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167F6CC0" w14:textId="77777777" w:rsidR="00F13777" w:rsidRDefault="00AD489F" w:rsidP="004F4C8F">
            <w:pPr>
              <w:pStyle w:val="ESS-TableText"/>
              <w:rPr>
                <w:rFonts w:eastAsia="Cambria" w:cs="Tahoma"/>
                <w:bCs/>
                <w:szCs w:val="24"/>
                <w:lang w:val="en-US"/>
              </w:rPr>
            </w:pPr>
            <w:r w:rsidRPr="002E5803">
              <w:rPr>
                <w:rFonts w:eastAsia="Cambria" w:cs="Tahoma"/>
                <w:bCs/>
                <w:szCs w:val="24"/>
                <w:lang w:val="en-US"/>
              </w:rPr>
              <w:t>François Javier</w:t>
            </w:r>
          </w:p>
          <w:p w14:paraId="0915C92E" w14:textId="317BB141" w:rsidR="00AD489F" w:rsidRPr="00720902" w:rsidRDefault="00AD489F" w:rsidP="004F4C8F">
            <w:pPr>
              <w:pStyle w:val="ESS-TableText"/>
              <w:rPr>
                <w:sz w:val="20"/>
              </w:rPr>
            </w:pPr>
            <w:r>
              <w:rPr>
                <w:rFonts w:eastAsia="Cambria" w:cs="Tahoma"/>
                <w:bCs/>
                <w:szCs w:val="24"/>
                <w:lang w:val="en-US"/>
              </w:rPr>
              <w:t>Peter Jacobsson</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714BEA98" w14:textId="77777777" w:rsidR="00F13777" w:rsidRDefault="00AD489F" w:rsidP="004F4C8F">
            <w:pPr>
              <w:pStyle w:val="ESS-TableText"/>
              <w:rPr>
                <w:sz w:val="20"/>
              </w:rPr>
            </w:pPr>
            <w:r>
              <w:rPr>
                <w:sz w:val="20"/>
              </w:rPr>
              <w:t>System engineer</w:t>
            </w:r>
          </w:p>
          <w:p w14:paraId="23D3AF9F" w14:textId="5A7D70D9" w:rsidR="00AD489F" w:rsidRPr="00720902" w:rsidRDefault="00AD489F" w:rsidP="004F4C8F">
            <w:pPr>
              <w:pStyle w:val="ESS-TableText"/>
              <w:rPr>
                <w:sz w:val="20"/>
              </w:rPr>
            </w:pPr>
            <w:r>
              <w:rPr>
                <w:sz w:val="20"/>
              </w:rPr>
              <w:t>Head of ES&amp;H Division</w:t>
            </w:r>
          </w:p>
        </w:tc>
      </w:tr>
      <w:tr w:rsidR="00F13777" w:rsidRPr="00720902" w14:paraId="0898056E"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608128AA" w14:textId="5B2E7AFC" w:rsidR="00F13777" w:rsidRPr="00720902" w:rsidRDefault="00F13777" w:rsidP="004F4C8F">
            <w:pPr>
              <w:pStyle w:val="ESS-TableText"/>
              <w:rPr>
                <w:b/>
                <w:sz w:val="20"/>
              </w:rPr>
            </w:pPr>
            <w:r w:rsidRPr="00720902">
              <w:rPr>
                <w:b/>
                <w:sz w:val="20"/>
              </w:rPr>
              <w:t>Approver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5601DF6B" w14:textId="4750849C" w:rsidR="00C573F4" w:rsidRPr="00C573F4" w:rsidRDefault="00AD489F" w:rsidP="004F4C8F">
            <w:pPr>
              <w:pStyle w:val="ESS-TableText"/>
              <w:rPr>
                <w:sz w:val="20"/>
                <w:lang w:val="en-US"/>
              </w:rPr>
            </w:pPr>
            <w:r>
              <w:rPr>
                <w:sz w:val="20"/>
              </w:rPr>
              <w:t>Ralf Trant</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20E4E7A9" w14:textId="43ED2520" w:rsidR="00C573F4" w:rsidRPr="00720902" w:rsidRDefault="00AD489F" w:rsidP="004F4C8F">
            <w:pPr>
              <w:pStyle w:val="ESS-TableText"/>
              <w:rPr>
                <w:sz w:val="20"/>
              </w:rPr>
            </w:pPr>
            <w:r>
              <w:rPr>
                <w:sz w:val="20"/>
              </w:rPr>
              <w:t>Ass.Dir for ES&amp;H &amp; Q</w:t>
            </w:r>
          </w:p>
        </w:tc>
      </w:tr>
      <w:tr w:rsidR="004A2CE4" w:rsidRPr="00720902" w14:paraId="6DE56A76"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5B596AA8" w14:textId="78118ACD" w:rsidR="004A2CE4" w:rsidRPr="00720902" w:rsidRDefault="004A2CE4" w:rsidP="004A2CE4">
            <w:pPr>
              <w:pStyle w:val="ESS-TableText"/>
              <w:rPr>
                <w:b/>
                <w:sz w:val="20"/>
              </w:rPr>
            </w:pPr>
            <w:r>
              <w:rPr>
                <w:b/>
                <w:sz w:val="20"/>
              </w:rPr>
              <w:t xml:space="preserve">Distribution list </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105D867A" w14:textId="25CA658C" w:rsidR="004A2CE4" w:rsidRDefault="004A2CE4" w:rsidP="004F4C8F">
            <w:pPr>
              <w:pStyle w:val="ESS-TableText"/>
              <w:rPr>
                <w:sz w:val="20"/>
              </w:rPr>
            </w:pPr>
            <w:r>
              <w:rPr>
                <w:sz w:val="20"/>
              </w:rPr>
              <w:t>&lt;&lt;Name&gt;&gt;</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6EFCA8D2" w14:textId="3BF2B5C6" w:rsidR="004A2CE4" w:rsidRDefault="004A2CE4" w:rsidP="004F4C8F">
            <w:pPr>
              <w:pStyle w:val="ESS-TableText"/>
              <w:rPr>
                <w:sz w:val="20"/>
              </w:rPr>
            </w:pPr>
            <w:r>
              <w:rPr>
                <w:sz w:val="20"/>
              </w:rPr>
              <w:t>&lt;&lt;Role/ Title&gt;&gt;</w:t>
            </w:r>
          </w:p>
        </w:tc>
      </w:tr>
    </w:tbl>
    <w:p w14:paraId="4B1507EE" w14:textId="77777777" w:rsidR="005226FB" w:rsidRDefault="005226FB" w:rsidP="00CB4DA4"/>
    <w:p w14:paraId="61B5F1E0" w14:textId="77777777" w:rsidR="00F13777" w:rsidRDefault="00F13777" w:rsidP="00CB4DA4"/>
    <w:p w14:paraId="092D169F" w14:textId="77777777" w:rsidR="00F13777" w:rsidRDefault="00F13777" w:rsidP="00CB4DA4"/>
    <w:p w14:paraId="21C97641" w14:textId="77777777" w:rsidR="0034671F" w:rsidRDefault="005226FB" w:rsidP="00F13777">
      <w:pPr>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491"/>
      </w:tblGrid>
      <w:tr w:rsidR="0034671F" w14:paraId="08DCD53E" w14:textId="77777777" w:rsidTr="0034671F">
        <w:tc>
          <w:tcPr>
            <w:tcW w:w="2500" w:type="pct"/>
            <w:shd w:val="clear" w:color="auto" w:fill="auto"/>
          </w:tcPr>
          <w:p w14:paraId="48CA60B2" w14:textId="77777777" w:rsidR="0034671F" w:rsidRDefault="0034671F" w:rsidP="0034671F">
            <w:pPr>
              <w:pStyle w:val="ESS-Unnumbered"/>
              <w:pageBreakBefore/>
            </w:pPr>
            <w:r>
              <w:lastRenderedPageBreak/>
              <w:t>Table of content</w:t>
            </w:r>
          </w:p>
        </w:tc>
        <w:tc>
          <w:tcPr>
            <w:tcW w:w="2500" w:type="pct"/>
            <w:shd w:val="clear" w:color="auto" w:fill="auto"/>
          </w:tcPr>
          <w:p w14:paraId="16EC78A3" w14:textId="77777777" w:rsidR="0034671F" w:rsidRDefault="0034671F" w:rsidP="0034671F">
            <w:pPr>
              <w:pStyle w:val="ESS-Unnumbered"/>
              <w:jc w:val="right"/>
            </w:pPr>
            <w:r>
              <w:t>Page</w:t>
            </w:r>
          </w:p>
        </w:tc>
      </w:tr>
    </w:tbl>
    <w:p w14:paraId="6EE3574C" w14:textId="77777777" w:rsidR="009413B2" w:rsidRDefault="0034671F">
      <w:pPr>
        <w:pStyle w:val="TOC1"/>
        <w:rPr>
          <w:rFonts w:asciiTheme="minorHAnsi" w:eastAsiaTheme="minorEastAsia" w:hAnsiTheme="minorHAnsi"/>
          <w:caps w:val="0"/>
          <w:sz w:val="24"/>
          <w:szCs w:val="24"/>
          <w:lang w:val="en-US"/>
        </w:rPr>
      </w:pPr>
      <w:r>
        <w:fldChar w:fldCharType="begin"/>
      </w:r>
      <w:r>
        <w:instrText xml:space="preserve"> TOC \o "1-4" </w:instrText>
      </w:r>
      <w:r>
        <w:fldChar w:fldCharType="separate"/>
      </w:r>
      <w:r w:rsidR="009413B2">
        <w:t>1.</w:t>
      </w:r>
      <w:r w:rsidR="009413B2">
        <w:rPr>
          <w:rFonts w:asciiTheme="minorHAnsi" w:eastAsiaTheme="minorEastAsia" w:hAnsiTheme="minorHAnsi"/>
          <w:caps w:val="0"/>
          <w:sz w:val="24"/>
          <w:szCs w:val="24"/>
          <w:lang w:val="en-US"/>
        </w:rPr>
        <w:tab/>
      </w:r>
      <w:r w:rsidR="009413B2">
        <w:t>Scope</w:t>
      </w:r>
      <w:r w:rsidR="009413B2">
        <w:tab/>
      </w:r>
      <w:r w:rsidR="009413B2">
        <w:fldChar w:fldCharType="begin"/>
      </w:r>
      <w:r w:rsidR="009413B2">
        <w:instrText xml:space="preserve"> PAGEREF _Toc492384563 \h </w:instrText>
      </w:r>
      <w:r w:rsidR="009413B2">
        <w:fldChar w:fldCharType="separate"/>
      </w:r>
      <w:r w:rsidR="009413B2">
        <w:t>3</w:t>
      </w:r>
      <w:r w:rsidR="009413B2">
        <w:fldChar w:fldCharType="end"/>
      </w:r>
    </w:p>
    <w:p w14:paraId="2298E0FE" w14:textId="77777777" w:rsidR="009413B2" w:rsidRDefault="009413B2">
      <w:pPr>
        <w:pStyle w:val="TOC1"/>
        <w:rPr>
          <w:rFonts w:asciiTheme="minorHAnsi" w:eastAsiaTheme="minorEastAsia" w:hAnsiTheme="minorHAnsi"/>
          <w:caps w:val="0"/>
          <w:sz w:val="24"/>
          <w:szCs w:val="24"/>
          <w:lang w:val="en-US"/>
        </w:rPr>
      </w:pPr>
      <w:r>
        <w:t>2.</w:t>
      </w:r>
      <w:r>
        <w:rPr>
          <w:rFonts w:asciiTheme="minorHAnsi" w:eastAsiaTheme="minorEastAsia" w:hAnsiTheme="minorHAnsi"/>
          <w:caps w:val="0"/>
          <w:sz w:val="24"/>
          <w:szCs w:val="24"/>
          <w:lang w:val="en-US"/>
        </w:rPr>
        <w:tab/>
      </w:r>
      <w:r>
        <w:t>CONTRIBUTORS</w:t>
      </w:r>
      <w:r>
        <w:tab/>
      </w:r>
      <w:r>
        <w:fldChar w:fldCharType="begin"/>
      </w:r>
      <w:r>
        <w:instrText xml:space="preserve"> PAGEREF _Toc492384564 \h </w:instrText>
      </w:r>
      <w:r>
        <w:fldChar w:fldCharType="separate"/>
      </w:r>
      <w:r>
        <w:t>3</w:t>
      </w:r>
      <w:r>
        <w:fldChar w:fldCharType="end"/>
      </w:r>
    </w:p>
    <w:p w14:paraId="5DFC36C8" w14:textId="77777777" w:rsidR="009413B2" w:rsidRDefault="009413B2">
      <w:pPr>
        <w:pStyle w:val="TOC1"/>
        <w:rPr>
          <w:rFonts w:asciiTheme="minorHAnsi" w:eastAsiaTheme="minorEastAsia" w:hAnsiTheme="minorHAnsi"/>
          <w:caps w:val="0"/>
          <w:sz w:val="24"/>
          <w:szCs w:val="24"/>
          <w:lang w:val="en-US"/>
        </w:rPr>
      </w:pPr>
      <w:r>
        <w:t>3.</w:t>
      </w:r>
      <w:r>
        <w:rPr>
          <w:rFonts w:asciiTheme="minorHAnsi" w:eastAsiaTheme="minorEastAsia" w:hAnsiTheme="minorHAnsi"/>
          <w:caps w:val="0"/>
          <w:sz w:val="24"/>
          <w:szCs w:val="24"/>
          <w:lang w:val="en-US"/>
        </w:rPr>
        <w:tab/>
      </w:r>
      <w:r>
        <w:t>Issuing organisation</w:t>
      </w:r>
      <w:r>
        <w:tab/>
      </w:r>
      <w:r>
        <w:fldChar w:fldCharType="begin"/>
      </w:r>
      <w:r>
        <w:instrText xml:space="preserve"> PAGEREF _Toc492384565 \h </w:instrText>
      </w:r>
      <w:r>
        <w:fldChar w:fldCharType="separate"/>
      </w:r>
      <w:r>
        <w:t>3</w:t>
      </w:r>
      <w:r>
        <w:fldChar w:fldCharType="end"/>
      </w:r>
    </w:p>
    <w:p w14:paraId="2FCE6D93" w14:textId="77777777" w:rsidR="009413B2" w:rsidRDefault="009413B2">
      <w:pPr>
        <w:pStyle w:val="TOC1"/>
        <w:rPr>
          <w:rFonts w:asciiTheme="minorHAnsi" w:eastAsiaTheme="minorEastAsia" w:hAnsiTheme="minorHAnsi"/>
          <w:caps w:val="0"/>
          <w:sz w:val="24"/>
          <w:szCs w:val="24"/>
          <w:lang w:val="en-US"/>
        </w:rPr>
      </w:pPr>
      <w:r>
        <w:t>4.</w:t>
      </w:r>
      <w:r>
        <w:rPr>
          <w:rFonts w:asciiTheme="minorHAnsi" w:eastAsiaTheme="minorEastAsia" w:hAnsiTheme="minorHAnsi"/>
          <w:caps w:val="0"/>
          <w:sz w:val="24"/>
          <w:szCs w:val="24"/>
          <w:lang w:val="en-US"/>
        </w:rPr>
        <w:tab/>
      </w:r>
      <w:r>
        <w:t>Methodology</w:t>
      </w:r>
      <w:r>
        <w:tab/>
      </w:r>
      <w:r>
        <w:fldChar w:fldCharType="begin"/>
      </w:r>
      <w:r>
        <w:instrText xml:space="preserve"> PAGEREF _Toc492384566 \h </w:instrText>
      </w:r>
      <w:r>
        <w:fldChar w:fldCharType="separate"/>
      </w:r>
      <w:r>
        <w:t>3</w:t>
      </w:r>
      <w:r>
        <w:fldChar w:fldCharType="end"/>
      </w:r>
    </w:p>
    <w:p w14:paraId="1D4E6EDB" w14:textId="77777777" w:rsidR="009413B2" w:rsidRDefault="009413B2">
      <w:pPr>
        <w:pStyle w:val="TOC1"/>
        <w:rPr>
          <w:rFonts w:asciiTheme="minorHAnsi" w:eastAsiaTheme="minorEastAsia" w:hAnsiTheme="minorHAnsi"/>
          <w:caps w:val="0"/>
          <w:sz w:val="24"/>
          <w:szCs w:val="24"/>
          <w:lang w:val="en-US"/>
        </w:rPr>
      </w:pPr>
      <w:r>
        <w:t>5.</w:t>
      </w:r>
      <w:r>
        <w:rPr>
          <w:rFonts w:asciiTheme="minorHAnsi" w:eastAsiaTheme="minorEastAsia" w:hAnsiTheme="minorHAnsi"/>
          <w:caps w:val="0"/>
          <w:sz w:val="24"/>
          <w:szCs w:val="24"/>
          <w:lang w:val="en-US"/>
        </w:rPr>
        <w:tab/>
      </w:r>
      <w:r>
        <w:t>Acceptance Criteria</w:t>
      </w:r>
      <w:r>
        <w:tab/>
      </w:r>
      <w:r>
        <w:fldChar w:fldCharType="begin"/>
      </w:r>
      <w:r>
        <w:instrText xml:space="preserve"> PAGEREF _Toc492384567 \h </w:instrText>
      </w:r>
      <w:r>
        <w:fldChar w:fldCharType="separate"/>
      </w:r>
      <w:r>
        <w:t>3</w:t>
      </w:r>
      <w:r>
        <w:fldChar w:fldCharType="end"/>
      </w:r>
    </w:p>
    <w:p w14:paraId="64FF81DA" w14:textId="77777777" w:rsidR="009413B2" w:rsidRDefault="009413B2">
      <w:pPr>
        <w:pStyle w:val="TOC1"/>
        <w:rPr>
          <w:rFonts w:asciiTheme="minorHAnsi" w:eastAsiaTheme="minorEastAsia" w:hAnsiTheme="minorHAnsi"/>
          <w:caps w:val="0"/>
          <w:sz w:val="24"/>
          <w:szCs w:val="24"/>
          <w:lang w:val="en-US"/>
        </w:rPr>
      </w:pPr>
      <w:r>
        <w:t>6.</w:t>
      </w:r>
      <w:r>
        <w:rPr>
          <w:rFonts w:asciiTheme="minorHAnsi" w:eastAsiaTheme="minorEastAsia" w:hAnsiTheme="minorHAnsi"/>
          <w:caps w:val="0"/>
          <w:sz w:val="24"/>
          <w:szCs w:val="24"/>
          <w:lang w:val="en-US"/>
        </w:rPr>
        <w:tab/>
      </w:r>
      <w:r>
        <w:t>Open Items</w:t>
      </w:r>
      <w:r>
        <w:tab/>
      </w:r>
      <w:r>
        <w:fldChar w:fldCharType="begin"/>
      </w:r>
      <w:r>
        <w:instrText xml:space="preserve"> PAGEREF _Toc492384568 \h </w:instrText>
      </w:r>
      <w:r>
        <w:fldChar w:fldCharType="separate"/>
      </w:r>
      <w:r>
        <w:t>3</w:t>
      </w:r>
      <w:r>
        <w:fldChar w:fldCharType="end"/>
      </w:r>
    </w:p>
    <w:p w14:paraId="39256E2C" w14:textId="77777777" w:rsidR="009413B2" w:rsidRDefault="009413B2">
      <w:pPr>
        <w:pStyle w:val="TOC1"/>
        <w:rPr>
          <w:rFonts w:asciiTheme="minorHAnsi" w:eastAsiaTheme="minorEastAsia" w:hAnsiTheme="minorHAnsi"/>
          <w:caps w:val="0"/>
          <w:sz w:val="24"/>
          <w:szCs w:val="24"/>
          <w:lang w:val="en-US"/>
        </w:rPr>
      </w:pPr>
      <w:r>
        <w:t>7.</w:t>
      </w:r>
      <w:r>
        <w:rPr>
          <w:rFonts w:asciiTheme="minorHAnsi" w:eastAsiaTheme="minorEastAsia" w:hAnsiTheme="minorHAnsi"/>
          <w:caps w:val="0"/>
          <w:sz w:val="24"/>
          <w:szCs w:val="24"/>
          <w:lang w:val="en-US"/>
        </w:rPr>
        <w:tab/>
      </w:r>
      <w:r>
        <w:t>Assumptions</w:t>
      </w:r>
      <w:r>
        <w:tab/>
      </w:r>
      <w:r>
        <w:fldChar w:fldCharType="begin"/>
      </w:r>
      <w:r>
        <w:instrText xml:space="preserve"> PAGEREF _Toc492384569 \h </w:instrText>
      </w:r>
      <w:r>
        <w:fldChar w:fldCharType="separate"/>
      </w:r>
      <w:r>
        <w:t>3</w:t>
      </w:r>
      <w:r>
        <w:fldChar w:fldCharType="end"/>
      </w:r>
    </w:p>
    <w:p w14:paraId="6C006FFD" w14:textId="77777777" w:rsidR="009413B2" w:rsidRDefault="009413B2">
      <w:pPr>
        <w:pStyle w:val="TOC1"/>
        <w:rPr>
          <w:rFonts w:asciiTheme="minorHAnsi" w:eastAsiaTheme="minorEastAsia" w:hAnsiTheme="minorHAnsi"/>
          <w:caps w:val="0"/>
          <w:sz w:val="24"/>
          <w:szCs w:val="24"/>
          <w:lang w:val="en-US"/>
        </w:rPr>
      </w:pPr>
      <w:r>
        <w:t>8.</w:t>
      </w:r>
      <w:r>
        <w:rPr>
          <w:rFonts w:asciiTheme="minorHAnsi" w:eastAsiaTheme="minorEastAsia" w:hAnsiTheme="minorHAnsi"/>
          <w:caps w:val="0"/>
          <w:sz w:val="24"/>
          <w:szCs w:val="24"/>
          <w:lang w:val="en-US"/>
        </w:rPr>
        <w:tab/>
      </w:r>
      <w:r>
        <w:t>Limitations</w:t>
      </w:r>
      <w:r>
        <w:tab/>
      </w:r>
      <w:r>
        <w:fldChar w:fldCharType="begin"/>
      </w:r>
      <w:r>
        <w:instrText xml:space="preserve"> PAGEREF _Toc492384570 \h </w:instrText>
      </w:r>
      <w:r>
        <w:fldChar w:fldCharType="separate"/>
      </w:r>
      <w:r>
        <w:t>4</w:t>
      </w:r>
      <w:r>
        <w:fldChar w:fldCharType="end"/>
      </w:r>
    </w:p>
    <w:p w14:paraId="67D52D3A" w14:textId="77777777" w:rsidR="009413B2" w:rsidRDefault="009413B2">
      <w:pPr>
        <w:pStyle w:val="TOC1"/>
        <w:rPr>
          <w:rFonts w:asciiTheme="minorHAnsi" w:eastAsiaTheme="minorEastAsia" w:hAnsiTheme="minorHAnsi"/>
          <w:caps w:val="0"/>
          <w:sz w:val="24"/>
          <w:szCs w:val="24"/>
          <w:lang w:val="en-US"/>
        </w:rPr>
      </w:pPr>
      <w:r>
        <w:t>9.</w:t>
      </w:r>
      <w:r>
        <w:rPr>
          <w:rFonts w:asciiTheme="minorHAnsi" w:eastAsiaTheme="minorEastAsia" w:hAnsiTheme="minorHAnsi"/>
          <w:caps w:val="0"/>
          <w:sz w:val="24"/>
          <w:szCs w:val="24"/>
          <w:lang w:val="en-US"/>
        </w:rPr>
        <w:tab/>
      </w:r>
      <w:r>
        <w:t>Computer Hardware and software</w:t>
      </w:r>
      <w:r>
        <w:tab/>
      </w:r>
      <w:r>
        <w:fldChar w:fldCharType="begin"/>
      </w:r>
      <w:r>
        <w:instrText xml:space="preserve"> PAGEREF _Toc492384571 \h </w:instrText>
      </w:r>
      <w:r>
        <w:fldChar w:fldCharType="separate"/>
      </w:r>
      <w:r>
        <w:t>4</w:t>
      </w:r>
      <w:r>
        <w:fldChar w:fldCharType="end"/>
      </w:r>
    </w:p>
    <w:p w14:paraId="7834EEB2" w14:textId="77777777" w:rsidR="009413B2" w:rsidRDefault="009413B2">
      <w:pPr>
        <w:pStyle w:val="TOC1"/>
        <w:rPr>
          <w:rFonts w:asciiTheme="minorHAnsi" w:eastAsiaTheme="minorEastAsia" w:hAnsiTheme="minorHAnsi"/>
          <w:caps w:val="0"/>
          <w:sz w:val="24"/>
          <w:szCs w:val="24"/>
          <w:lang w:val="en-US"/>
        </w:rPr>
      </w:pPr>
      <w:r>
        <w:t>10.</w:t>
      </w:r>
      <w:r>
        <w:rPr>
          <w:rFonts w:asciiTheme="minorHAnsi" w:eastAsiaTheme="minorEastAsia" w:hAnsiTheme="minorHAnsi"/>
          <w:caps w:val="0"/>
          <w:sz w:val="24"/>
          <w:szCs w:val="24"/>
          <w:lang w:val="en-US"/>
        </w:rPr>
        <w:tab/>
      </w:r>
      <w:r>
        <w:t>Calculation Inputs</w:t>
      </w:r>
      <w:r>
        <w:tab/>
      </w:r>
      <w:r>
        <w:fldChar w:fldCharType="begin"/>
      </w:r>
      <w:r>
        <w:instrText xml:space="preserve"> PAGEREF _Toc492384572 \h </w:instrText>
      </w:r>
      <w:r>
        <w:fldChar w:fldCharType="separate"/>
      </w:r>
      <w:r>
        <w:t>5</w:t>
      </w:r>
      <w:r>
        <w:fldChar w:fldCharType="end"/>
      </w:r>
    </w:p>
    <w:p w14:paraId="21B620B2" w14:textId="77777777" w:rsidR="009413B2" w:rsidRDefault="009413B2">
      <w:pPr>
        <w:pStyle w:val="TOC1"/>
        <w:rPr>
          <w:rFonts w:asciiTheme="minorHAnsi" w:eastAsiaTheme="minorEastAsia" w:hAnsiTheme="minorHAnsi"/>
          <w:caps w:val="0"/>
          <w:sz w:val="24"/>
          <w:szCs w:val="24"/>
          <w:lang w:val="en-US"/>
        </w:rPr>
      </w:pPr>
      <w:r>
        <w:t>11.</w:t>
      </w:r>
      <w:r>
        <w:rPr>
          <w:rFonts w:asciiTheme="minorHAnsi" w:eastAsiaTheme="minorEastAsia" w:hAnsiTheme="minorHAnsi"/>
          <w:caps w:val="0"/>
          <w:sz w:val="24"/>
          <w:szCs w:val="24"/>
          <w:lang w:val="en-US"/>
        </w:rPr>
        <w:tab/>
      </w:r>
      <w:r>
        <w:t>calculations</w:t>
      </w:r>
      <w:r>
        <w:tab/>
      </w:r>
      <w:r>
        <w:fldChar w:fldCharType="begin"/>
      </w:r>
      <w:r>
        <w:instrText xml:space="preserve"> PAGEREF _Toc492384573 \h </w:instrText>
      </w:r>
      <w:r>
        <w:fldChar w:fldCharType="separate"/>
      </w:r>
      <w:r>
        <w:t>5</w:t>
      </w:r>
      <w:r>
        <w:fldChar w:fldCharType="end"/>
      </w:r>
    </w:p>
    <w:p w14:paraId="63111438" w14:textId="77777777" w:rsidR="009413B2" w:rsidRDefault="009413B2">
      <w:pPr>
        <w:pStyle w:val="TOC2"/>
        <w:rPr>
          <w:rFonts w:asciiTheme="minorHAnsi" w:eastAsiaTheme="minorEastAsia" w:hAnsiTheme="minorHAnsi"/>
          <w:sz w:val="24"/>
          <w:szCs w:val="24"/>
          <w:lang w:val="en-US"/>
        </w:rPr>
      </w:pPr>
      <w:r>
        <w:t>11.1.</w:t>
      </w:r>
      <w:r>
        <w:rPr>
          <w:rFonts w:asciiTheme="minorHAnsi" w:eastAsiaTheme="minorEastAsia" w:hAnsiTheme="minorHAnsi"/>
          <w:sz w:val="24"/>
          <w:szCs w:val="24"/>
          <w:lang w:val="en-US"/>
        </w:rPr>
        <w:tab/>
      </w:r>
      <w:r>
        <w:t>Offices in E03 and E04</w:t>
      </w:r>
      <w:r>
        <w:tab/>
      </w:r>
      <w:r>
        <w:fldChar w:fldCharType="begin"/>
      </w:r>
      <w:r>
        <w:instrText xml:space="preserve"> PAGEREF _Toc492384574 \h </w:instrText>
      </w:r>
      <w:r>
        <w:fldChar w:fldCharType="separate"/>
      </w:r>
      <w:r>
        <w:t>5</w:t>
      </w:r>
      <w:r>
        <w:fldChar w:fldCharType="end"/>
      </w:r>
    </w:p>
    <w:p w14:paraId="21419418" w14:textId="77777777" w:rsidR="009413B2" w:rsidRDefault="009413B2">
      <w:pPr>
        <w:pStyle w:val="TOC2"/>
        <w:rPr>
          <w:rFonts w:asciiTheme="minorHAnsi" w:eastAsiaTheme="minorEastAsia" w:hAnsiTheme="minorHAnsi"/>
          <w:sz w:val="24"/>
          <w:szCs w:val="24"/>
          <w:lang w:val="en-US"/>
        </w:rPr>
      </w:pPr>
      <w:r>
        <w:t>11.2.</w:t>
      </w:r>
      <w:r>
        <w:rPr>
          <w:rFonts w:asciiTheme="minorHAnsi" w:eastAsiaTheme="minorEastAsia" w:hAnsiTheme="minorHAnsi"/>
          <w:sz w:val="24"/>
          <w:szCs w:val="24"/>
          <w:lang w:val="en-US"/>
        </w:rPr>
        <w:tab/>
      </w:r>
      <w:r>
        <w:t>Offices in the campus area</w:t>
      </w:r>
      <w:r>
        <w:tab/>
      </w:r>
      <w:r>
        <w:fldChar w:fldCharType="begin"/>
      </w:r>
      <w:r>
        <w:instrText xml:space="preserve"> PAGEREF _Toc492384575 \h </w:instrText>
      </w:r>
      <w:r>
        <w:fldChar w:fldCharType="separate"/>
      </w:r>
      <w:r>
        <w:t>6</w:t>
      </w:r>
      <w:r>
        <w:fldChar w:fldCharType="end"/>
      </w:r>
    </w:p>
    <w:p w14:paraId="6BDB17D6" w14:textId="77777777" w:rsidR="009413B2" w:rsidRDefault="009413B2">
      <w:pPr>
        <w:pStyle w:val="TOC1"/>
        <w:rPr>
          <w:rFonts w:asciiTheme="minorHAnsi" w:eastAsiaTheme="minorEastAsia" w:hAnsiTheme="minorHAnsi"/>
          <w:caps w:val="0"/>
          <w:sz w:val="24"/>
          <w:szCs w:val="24"/>
          <w:lang w:val="en-US"/>
        </w:rPr>
      </w:pPr>
      <w:r>
        <w:t>12.</w:t>
      </w:r>
      <w:r>
        <w:rPr>
          <w:rFonts w:asciiTheme="minorHAnsi" w:eastAsiaTheme="minorEastAsia" w:hAnsiTheme="minorHAnsi"/>
          <w:caps w:val="0"/>
          <w:sz w:val="24"/>
          <w:szCs w:val="24"/>
          <w:lang w:val="en-US"/>
        </w:rPr>
        <w:tab/>
      </w:r>
      <w:r>
        <w:t>CONCLUSIONS AND RECOMMENDATIONS</w:t>
      </w:r>
      <w:r>
        <w:tab/>
      </w:r>
      <w:r>
        <w:fldChar w:fldCharType="begin"/>
      </w:r>
      <w:r>
        <w:instrText xml:space="preserve"> PAGEREF _Toc492384576 \h </w:instrText>
      </w:r>
      <w:r>
        <w:fldChar w:fldCharType="separate"/>
      </w:r>
      <w:r>
        <w:t>6</w:t>
      </w:r>
      <w:r>
        <w:fldChar w:fldCharType="end"/>
      </w:r>
    </w:p>
    <w:p w14:paraId="4F2E52A5" w14:textId="77777777" w:rsidR="009413B2" w:rsidRDefault="009413B2">
      <w:pPr>
        <w:pStyle w:val="TOC1"/>
        <w:rPr>
          <w:rFonts w:asciiTheme="minorHAnsi" w:eastAsiaTheme="minorEastAsia" w:hAnsiTheme="minorHAnsi"/>
          <w:caps w:val="0"/>
          <w:sz w:val="24"/>
          <w:szCs w:val="24"/>
          <w:lang w:val="en-US"/>
        </w:rPr>
      </w:pPr>
      <w:r>
        <w:t>13.</w:t>
      </w:r>
      <w:r>
        <w:rPr>
          <w:rFonts w:asciiTheme="minorHAnsi" w:eastAsiaTheme="minorEastAsia" w:hAnsiTheme="minorHAnsi"/>
          <w:caps w:val="0"/>
          <w:sz w:val="24"/>
          <w:szCs w:val="24"/>
          <w:lang w:val="en-US"/>
        </w:rPr>
        <w:tab/>
      </w:r>
      <w:r>
        <w:t>Glossary</w:t>
      </w:r>
      <w:r>
        <w:tab/>
      </w:r>
      <w:r>
        <w:fldChar w:fldCharType="begin"/>
      </w:r>
      <w:r>
        <w:instrText xml:space="preserve"> PAGEREF _Toc492384577 \h </w:instrText>
      </w:r>
      <w:r>
        <w:fldChar w:fldCharType="separate"/>
      </w:r>
      <w:r>
        <w:t>6</w:t>
      </w:r>
      <w:r>
        <w:fldChar w:fldCharType="end"/>
      </w:r>
    </w:p>
    <w:p w14:paraId="3F255EFB" w14:textId="77777777" w:rsidR="009413B2" w:rsidRDefault="009413B2">
      <w:pPr>
        <w:pStyle w:val="TOC1"/>
        <w:rPr>
          <w:rFonts w:asciiTheme="minorHAnsi" w:eastAsiaTheme="minorEastAsia" w:hAnsiTheme="minorHAnsi"/>
          <w:caps w:val="0"/>
          <w:sz w:val="24"/>
          <w:szCs w:val="24"/>
          <w:lang w:val="en-US"/>
        </w:rPr>
      </w:pPr>
      <w:r>
        <w:t>14.</w:t>
      </w:r>
      <w:r>
        <w:rPr>
          <w:rFonts w:asciiTheme="minorHAnsi" w:eastAsiaTheme="minorEastAsia" w:hAnsiTheme="minorHAnsi"/>
          <w:caps w:val="0"/>
          <w:sz w:val="24"/>
          <w:szCs w:val="24"/>
          <w:lang w:val="en-US"/>
        </w:rPr>
        <w:tab/>
      </w:r>
      <w:r>
        <w:t>references</w:t>
      </w:r>
      <w:r>
        <w:tab/>
      </w:r>
      <w:r>
        <w:fldChar w:fldCharType="begin"/>
      </w:r>
      <w:r>
        <w:instrText xml:space="preserve"> PAGEREF _Toc492384578 \h </w:instrText>
      </w:r>
      <w:r>
        <w:fldChar w:fldCharType="separate"/>
      </w:r>
      <w:r>
        <w:t>7</w:t>
      </w:r>
      <w:r>
        <w:fldChar w:fldCharType="end"/>
      </w:r>
    </w:p>
    <w:p w14:paraId="17B99143" w14:textId="77777777" w:rsidR="009413B2" w:rsidRDefault="009413B2">
      <w:pPr>
        <w:pStyle w:val="TOC1"/>
        <w:rPr>
          <w:rFonts w:asciiTheme="minorHAnsi" w:eastAsiaTheme="minorEastAsia" w:hAnsiTheme="minorHAnsi"/>
          <w:caps w:val="0"/>
          <w:sz w:val="24"/>
          <w:szCs w:val="24"/>
          <w:lang w:val="en-US"/>
        </w:rPr>
      </w:pPr>
      <w:r>
        <w:t>Document Revision history</w:t>
      </w:r>
      <w:r>
        <w:tab/>
      </w:r>
      <w:r>
        <w:fldChar w:fldCharType="begin"/>
      </w:r>
      <w:r>
        <w:instrText xml:space="preserve"> PAGEREF _Toc492384579 \h </w:instrText>
      </w:r>
      <w:r>
        <w:fldChar w:fldCharType="separate"/>
      </w:r>
      <w:r>
        <w:t>7</w:t>
      </w:r>
      <w:r>
        <w:fldChar w:fldCharType="end"/>
      </w:r>
    </w:p>
    <w:p w14:paraId="18DE4EA1" w14:textId="77777777" w:rsidR="009C6F7F" w:rsidRDefault="0034671F" w:rsidP="0017476C">
      <w:r>
        <w:fldChar w:fldCharType="end"/>
      </w:r>
    </w:p>
    <w:p w14:paraId="18B861F3" w14:textId="77777777" w:rsidR="006B7CEA" w:rsidRDefault="006B7CEA" w:rsidP="006B7CEA">
      <w:pPr>
        <w:pStyle w:val="Heading1"/>
        <w:pageBreakBefore/>
      </w:pPr>
      <w:bookmarkStart w:id="1" w:name="_Toc293146208"/>
      <w:bookmarkStart w:id="2" w:name="_Toc492384563"/>
      <w:r>
        <w:lastRenderedPageBreak/>
        <w:t>Scope</w:t>
      </w:r>
      <w:bookmarkEnd w:id="1"/>
      <w:bookmarkEnd w:id="2"/>
    </w:p>
    <w:p w14:paraId="74926E4E" w14:textId="4173B204" w:rsidR="006B7CEA" w:rsidRPr="00EE4AB7" w:rsidRDefault="00EE4AB7" w:rsidP="00EE4AB7">
      <w:pPr>
        <w:jc w:val="both"/>
      </w:pPr>
      <w:r w:rsidRPr="00EE4AB7">
        <w:t xml:space="preserve">The purpose of this report is to assess the current prediction of the dose in the </w:t>
      </w:r>
      <w:r>
        <w:t>offices in the public zones</w:t>
      </w:r>
      <w:r w:rsidRPr="00EE4AB7">
        <w:t xml:space="preserve"> in the campus area and in E03 and</w:t>
      </w:r>
      <w:r>
        <w:t xml:space="preserve"> E04, for the discussion on the zoning of this areas. This report is not intended as a shielding design report, and therefore shall not be used for shielding design.</w:t>
      </w:r>
    </w:p>
    <w:p w14:paraId="309EAE08" w14:textId="77777777" w:rsidR="006B7CEA" w:rsidRDefault="006B7CEA" w:rsidP="006B7CEA">
      <w:pPr>
        <w:pStyle w:val="Heading1"/>
      </w:pPr>
      <w:bookmarkStart w:id="3" w:name="_Toc293146209"/>
      <w:bookmarkStart w:id="4" w:name="_Toc492384564"/>
      <w:r>
        <w:t>CONTRIBUTORS</w:t>
      </w:r>
      <w:bookmarkEnd w:id="3"/>
      <w:bookmarkEnd w:id="4"/>
    </w:p>
    <w:p w14:paraId="528740F2" w14:textId="3E38FE2F" w:rsidR="006B7CEA" w:rsidRPr="001E468D" w:rsidRDefault="001E468D" w:rsidP="006B7CEA">
      <w:pPr>
        <w:rPr>
          <w:lang w:val="de-AT"/>
        </w:rPr>
      </w:pPr>
      <w:r w:rsidRPr="001E468D">
        <w:t>G</w:t>
      </w:r>
      <w:r w:rsidRPr="001E468D">
        <w:rPr>
          <w:lang w:val="de-AT"/>
        </w:rPr>
        <w:t>ünter Muhrer</w:t>
      </w:r>
    </w:p>
    <w:p w14:paraId="29D36E2A" w14:textId="77777777" w:rsidR="006B7CEA" w:rsidRDefault="006B7CEA" w:rsidP="006B7CEA">
      <w:pPr>
        <w:pStyle w:val="Heading1"/>
      </w:pPr>
      <w:bookmarkStart w:id="5" w:name="_Toc293146210"/>
      <w:bookmarkStart w:id="6" w:name="_Toc492384565"/>
      <w:r>
        <w:t>Issuing organisation</w:t>
      </w:r>
      <w:bookmarkEnd w:id="5"/>
      <w:bookmarkEnd w:id="6"/>
    </w:p>
    <w:p w14:paraId="2F360A77" w14:textId="77777777" w:rsidR="006B7CEA" w:rsidRPr="009C523B" w:rsidRDefault="006B7CEA" w:rsidP="006B7CEA">
      <w:pPr>
        <w:rPr>
          <w:i/>
        </w:rPr>
      </w:pPr>
      <w:r w:rsidRPr="009C523B">
        <w:rPr>
          <w:i/>
        </w:rPr>
        <w:t>&lt;&lt;Text&gt;&gt;</w:t>
      </w:r>
    </w:p>
    <w:p w14:paraId="473C3C77" w14:textId="42829373" w:rsidR="006B7CEA" w:rsidRDefault="006A58AE" w:rsidP="006B7CEA">
      <w:pPr>
        <w:pStyle w:val="Heading1"/>
      </w:pPr>
      <w:bookmarkStart w:id="7" w:name="_Toc492384566"/>
      <w:r>
        <w:t>Methodology</w:t>
      </w:r>
      <w:bookmarkEnd w:id="7"/>
    </w:p>
    <w:p w14:paraId="769BBC57" w14:textId="4A01FDC4" w:rsidR="00C50CA3" w:rsidRPr="001E468D" w:rsidRDefault="001E468D" w:rsidP="001E468D">
      <w:pPr>
        <w:jc w:val="both"/>
        <w:rPr>
          <w:lang w:val="en-US"/>
        </w:rPr>
      </w:pPr>
      <w:r>
        <w:t xml:space="preserve">The dose in the offices was assessed in respect to the contributions from the accelerator, target and neutron scattering </w:t>
      </w:r>
      <w:r>
        <w:rPr>
          <w:lang w:val="en-US"/>
        </w:rPr>
        <w:t>systems</w:t>
      </w:r>
      <w:r w:rsidR="009B1CC3">
        <w:rPr>
          <w:lang w:val="en-US"/>
        </w:rPr>
        <w:t xml:space="preserve"> (NSS)</w:t>
      </w:r>
      <w:r>
        <w:rPr>
          <w:lang w:val="en-US"/>
        </w:rPr>
        <w:t>. This the cas</w:t>
      </w:r>
      <w:r w:rsidR="0001772D">
        <w:rPr>
          <w:lang w:val="en-US"/>
        </w:rPr>
        <w:t xml:space="preserve">e of the accelerator the data provided in [1] was used. In the case of the target </w:t>
      </w:r>
      <w:r w:rsidR="00725044">
        <w:rPr>
          <w:lang w:val="en-US"/>
        </w:rPr>
        <w:t>the data provided in [2] was used and projected to the offices using hand book methods [3]</w:t>
      </w:r>
      <w:r w:rsidR="009B1CC3">
        <w:rPr>
          <w:lang w:val="en-US"/>
        </w:rPr>
        <w:t xml:space="preserve">. In the case of NSS, </w:t>
      </w:r>
      <w:r w:rsidR="00186717">
        <w:rPr>
          <w:lang w:val="en-US"/>
        </w:rPr>
        <w:t>it is assumed that the instruments leak the maximum dose allowed, which is then projected to the offices using hand book methods.</w:t>
      </w:r>
      <w:r w:rsidR="00DC61D0">
        <w:rPr>
          <w:lang w:val="en-US"/>
        </w:rPr>
        <w:t xml:space="preserve"> Furthermore, it shall be stated at this time, that the safety factors will be applied to the final result of the predictions, but not on the input parameters.</w:t>
      </w:r>
    </w:p>
    <w:p w14:paraId="2CD4BE13" w14:textId="40B0968E" w:rsidR="006B7CEA" w:rsidRDefault="006A58AE" w:rsidP="006B7CEA">
      <w:pPr>
        <w:pStyle w:val="Heading1"/>
      </w:pPr>
      <w:bookmarkStart w:id="8" w:name="_Toc492384567"/>
      <w:r>
        <w:t>Acceptance Criteria</w:t>
      </w:r>
      <w:bookmarkEnd w:id="8"/>
    </w:p>
    <w:p w14:paraId="788CB956" w14:textId="5F5E6B9D" w:rsidR="006B7CEA" w:rsidRPr="00186717" w:rsidRDefault="00186717" w:rsidP="00186717">
      <w:pPr>
        <w:jc w:val="both"/>
      </w:pPr>
      <w:r w:rsidRPr="00186717">
        <w:t xml:space="preserve">This report only shows the current status. Therefore, </w:t>
      </w:r>
      <w:r>
        <w:t>there is no acceptance criteria.</w:t>
      </w:r>
    </w:p>
    <w:p w14:paraId="49AF21A9" w14:textId="1B4E4474" w:rsidR="006B7CEA" w:rsidRDefault="006A58AE" w:rsidP="006B7CEA">
      <w:pPr>
        <w:pStyle w:val="Heading1"/>
      </w:pPr>
      <w:bookmarkStart w:id="9" w:name="_Toc492384568"/>
      <w:r>
        <w:t>Open Items</w:t>
      </w:r>
      <w:bookmarkEnd w:id="9"/>
    </w:p>
    <w:p w14:paraId="684388AC" w14:textId="7757FD05" w:rsidR="006B7CEA" w:rsidRPr="00767F48" w:rsidRDefault="00767F48" w:rsidP="006B7CEA">
      <w:r w:rsidRPr="00767F48">
        <w:t>Dose contribution from inhalation and immersion due to releases from the stack have not been estimated.</w:t>
      </w:r>
    </w:p>
    <w:p w14:paraId="33D4680C" w14:textId="13A8AE90" w:rsidR="006A58AE" w:rsidRDefault="006A58AE" w:rsidP="006A58AE">
      <w:pPr>
        <w:pStyle w:val="Heading1"/>
      </w:pPr>
      <w:bookmarkStart w:id="10" w:name="_Toc492384569"/>
      <w:r>
        <w:t>Assumptions</w:t>
      </w:r>
      <w:bookmarkEnd w:id="10"/>
    </w:p>
    <w:p w14:paraId="102E8466" w14:textId="6C78895D" w:rsidR="00D2024E" w:rsidRDefault="00D2024E" w:rsidP="009C6050">
      <w:pPr>
        <w:jc w:val="both"/>
      </w:pPr>
      <w:r w:rsidRPr="00D2024E">
        <w:rPr>
          <w:b/>
        </w:rPr>
        <w:t>Radiation leakage from the instruments</w:t>
      </w:r>
      <w:r>
        <w:t>:</w:t>
      </w:r>
    </w:p>
    <w:p w14:paraId="35762D6D" w14:textId="54B45A17" w:rsidR="006E5BA3" w:rsidRDefault="00186717" w:rsidP="009C6050">
      <w:pPr>
        <w:jc w:val="both"/>
      </w:pPr>
      <w:r w:rsidRPr="00186717">
        <w:t xml:space="preserve">It is assumed </w:t>
      </w:r>
      <w:r>
        <w:t xml:space="preserve">that the neutron scattering instruments leak the maximum allowable dose rate at all time and at any location. The instrument halls are defined as supervised zones </w:t>
      </w:r>
      <w:r>
        <w:lastRenderedPageBreak/>
        <w:t>[4</w:t>
      </w:r>
      <w:r w:rsidR="009811E9">
        <w:t>,5</w:t>
      </w:r>
      <w:r>
        <w:t>]</w:t>
      </w:r>
      <w:r w:rsidR="009811E9">
        <w:t>. In accordance with [6</w:t>
      </w:r>
      <w:r w:rsidR="00C529E8">
        <w:t>]</w:t>
      </w:r>
      <w:r w:rsidR="00913539">
        <w:t xml:space="preserve"> the maximum allowable permanent dose rate at the outer surface of the shielding is 1.5 </w:t>
      </w:r>
      <w:r w:rsidR="00913539" w:rsidRPr="00913539">
        <w:rPr>
          <w:rFonts w:ascii="Symbol" w:hAnsi="Symbol"/>
        </w:rPr>
        <w:t></w:t>
      </w:r>
      <w:r w:rsidR="00913539">
        <w:t>Sv/h.</w:t>
      </w:r>
    </w:p>
    <w:p w14:paraId="076C5A03" w14:textId="7D77AB67" w:rsidR="00C340CC" w:rsidRDefault="00C340CC" w:rsidP="009C6050">
      <w:pPr>
        <w:jc w:val="both"/>
      </w:pPr>
      <w:r>
        <w:t>It is further assumed that in the guide hall, after the bender, all instruments will only emit gammas, which are due to the capture of thermal neutrons, which are lost in the guide transport.</w:t>
      </w:r>
    </w:p>
    <w:p w14:paraId="53FBC9C0" w14:textId="7D97C19E" w:rsidR="00C340CC" w:rsidRDefault="00C340CC" w:rsidP="009C6050">
      <w:pPr>
        <w:jc w:val="both"/>
      </w:pPr>
      <w:r>
        <w:t xml:space="preserve">In case of the instrument caves it is assumed, that one half of the leaked radiation is from neutron and the </w:t>
      </w:r>
      <w:r w:rsidR="006F3874">
        <w:t>other half is</w:t>
      </w:r>
      <w:r>
        <w:t>sue to gammas.</w:t>
      </w:r>
    </w:p>
    <w:p w14:paraId="6FAB24E6" w14:textId="7B0103F0" w:rsidR="00C50CA3" w:rsidRDefault="00C50CA3" w:rsidP="009C6050">
      <w:pPr>
        <w:jc w:val="both"/>
      </w:pPr>
      <w:r>
        <w:t>The instruments are currently in the early phase of the design. Therefore,</w:t>
      </w:r>
      <w:r w:rsidR="004E6E04">
        <w:t xml:space="preserve"> their exact layout</w:t>
      </w:r>
      <w:r>
        <w:t xml:space="preserve"> is not known. For the purpose of calculating the dose in the E03 and E04 offices, it </w:t>
      </w:r>
      <w:r w:rsidR="004E6E04">
        <w:t xml:space="preserve">is assumed that the outside of the cave of the instruments in E03 and E04 have a radius of 3 m and that the scattering source is located at the origin of this sphere. </w:t>
      </w:r>
    </w:p>
    <w:p w14:paraId="365D8753" w14:textId="25EFFE64" w:rsidR="009A1095" w:rsidRDefault="009A1095" w:rsidP="009C6050">
      <w:pPr>
        <w:jc w:val="both"/>
      </w:pPr>
      <w:r>
        <w:t>In the case of neutrons, it is assumed, that they are not attenuated in air.</w:t>
      </w:r>
    </w:p>
    <w:p w14:paraId="115C8892" w14:textId="2B0A1541" w:rsidR="009A1095" w:rsidRDefault="009A1095" w:rsidP="009C6050">
      <w:pPr>
        <w:jc w:val="both"/>
      </w:pPr>
      <w:r>
        <w:t xml:space="preserve">In the case of gammas, the air attenuation factor as given in [3], is used, where the tenth layer is shown as </w:t>
      </w:r>
      <w:r w:rsidR="007D4383">
        <w:t xml:space="preserve">about </w:t>
      </w:r>
      <w:r>
        <w:t>300 m.</w:t>
      </w:r>
    </w:p>
    <w:p w14:paraId="61303789" w14:textId="11CF7BEF" w:rsidR="006E5BA3" w:rsidRDefault="006E5BA3" w:rsidP="009C6050">
      <w:pPr>
        <w:jc w:val="both"/>
      </w:pPr>
      <w:r w:rsidRPr="005D7034">
        <w:rPr>
          <w:b/>
        </w:rPr>
        <w:t>Offices in E03 and E04</w:t>
      </w:r>
      <w:r>
        <w:t>:</w:t>
      </w:r>
    </w:p>
    <w:p w14:paraId="4CE03264" w14:textId="1C6ADF9D" w:rsidR="006E5BA3" w:rsidRDefault="006E5BA3" w:rsidP="009C6050">
      <w:pPr>
        <w:jc w:val="both"/>
      </w:pPr>
      <w:r>
        <w:t>For the offices in E03 and E04 it is assumed that the closest instrument cave is 15 m from the closed offices. The next two closest instruments are assumed to be 30 m away and the third closest instruments are 45 m away.</w:t>
      </w:r>
    </w:p>
    <w:p w14:paraId="7E72EF81" w14:textId="48B8A887" w:rsidR="006E5BA3" w:rsidRDefault="006E5BA3" w:rsidP="009C6050">
      <w:pPr>
        <w:jc w:val="both"/>
      </w:pPr>
      <w:r>
        <w:t>In addition, it is assumed that the contribution of the other instrument caves can be neglected, as can the contribution of the beamlines</w:t>
      </w:r>
      <w:r w:rsidR="00427752">
        <w:t xml:space="preserve"> in the guide hall</w:t>
      </w:r>
      <w:r>
        <w:t xml:space="preserve">. </w:t>
      </w:r>
    </w:p>
    <w:p w14:paraId="33D5C66B" w14:textId="7807C738" w:rsidR="00C50CA3" w:rsidRDefault="005D7034" w:rsidP="006A58AE">
      <w:r w:rsidRPr="005D7034">
        <w:rPr>
          <w:b/>
        </w:rPr>
        <w:t>Offices in the campus area</w:t>
      </w:r>
      <w:r>
        <w:t>:</w:t>
      </w:r>
    </w:p>
    <w:p w14:paraId="544BB912" w14:textId="34827C86" w:rsidR="005D7034" w:rsidRDefault="009811E9" w:rsidP="006A58AE">
      <w:r>
        <w:t>Based on [7</w:t>
      </w:r>
      <w:r w:rsidR="005D7034">
        <w:t>]</w:t>
      </w:r>
      <w:r w:rsidR="00854530">
        <w:t xml:space="preserve"> it is assumed that the closed part of the B02 building is 50 m from the closest beamline inside the guide hall.</w:t>
      </w:r>
    </w:p>
    <w:p w14:paraId="7C881E40" w14:textId="6DF48BC7" w:rsidR="00854530" w:rsidRDefault="00854530" w:rsidP="006A58AE">
      <w:r>
        <w:t>It is further assumed that the closed part of the B02 building is 50 m from the closest instrument cave in D03.</w:t>
      </w:r>
    </w:p>
    <w:p w14:paraId="0CEFFE1E" w14:textId="68831201" w:rsidR="00854530" w:rsidRPr="00186717" w:rsidRDefault="00854530" w:rsidP="006A58AE">
      <w:r>
        <w:t>While these two locations are not the same, for the purpose of this evaluation, it is assumed that they are, which is a conservative assumption.</w:t>
      </w:r>
    </w:p>
    <w:p w14:paraId="35ACB6CE" w14:textId="59EC7F13" w:rsidR="006A58AE" w:rsidRDefault="006A58AE" w:rsidP="006A58AE">
      <w:pPr>
        <w:pStyle w:val="Heading1"/>
      </w:pPr>
      <w:bookmarkStart w:id="11" w:name="_Toc492384570"/>
      <w:r>
        <w:t>Limitations</w:t>
      </w:r>
      <w:bookmarkEnd w:id="11"/>
    </w:p>
    <w:p w14:paraId="3DEDCEE2" w14:textId="1D7F5152" w:rsidR="006A58AE" w:rsidRPr="00767F48" w:rsidRDefault="00767F48" w:rsidP="006A58AE">
      <w:r w:rsidRPr="00767F48">
        <w:t xml:space="preserve">This </w:t>
      </w:r>
      <w:r>
        <w:t xml:space="preserve">report only deals with doses due to external radiation. It does not include contributions for inhalation or immersion. </w:t>
      </w:r>
    </w:p>
    <w:p w14:paraId="672689F8" w14:textId="519ACDB4" w:rsidR="006A58AE" w:rsidRDefault="006A58AE" w:rsidP="006A58AE">
      <w:pPr>
        <w:pStyle w:val="Heading1"/>
      </w:pPr>
      <w:bookmarkStart w:id="12" w:name="_Toc492384571"/>
      <w:r>
        <w:lastRenderedPageBreak/>
        <w:t>Computer Hardware and software</w:t>
      </w:r>
      <w:bookmarkEnd w:id="12"/>
    </w:p>
    <w:p w14:paraId="4C87CF14" w14:textId="208BF229" w:rsidR="006A58AE" w:rsidRPr="00C50CA3" w:rsidRDefault="00C50CA3" w:rsidP="00C50CA3">
      <w:pPr>
        <w:jc w:val="both"/>
      </w:pPr>
      <w:r w:rsidRPr="00C50CA3">
        <w:t>None.</w:t>
      </w:r>
    </w:p>
    <w:p w14:paraId="3AD26628" w14:textId="67584941" w:rsidR="006A58AE" w:rsidRDefault="006A58AE" w:rsidP="006A58AE">
      <w:pPr>
        <w:pStyle w:val="Heading1"/>
      </w:pPr>
      <w:bookmarkStart w:id="13" w:name="_Toc492384572"/>
      <w:r>
        <w:t>Calculation Inputs</w:t>
      </w:r>
      <w:bookmarkEnd w:id="13"/>
    </w:p>
    <w:p w14:paraId="34A5D85C" w14:textId="109044B4" w:rsidR="006A58AE" w:rsidRPr="00C100DE" w:rsidRDefault="00C100DE" w:rsidP="006A58AE">
      <w:r w:rsidRPr="00C100DE">
        <w:t>N/A</w:t>
      </w:r>
    </w:p>
    <w:p w14:paraId="596A145E" w14:textId="16665AA4" w:rsidR="006A58AE" w:rsidRDefault="006A58AE" w:rsidP="006A58AE">
      <w:pPr>
        <w:pStyle w:val="Heading1"/>
      </w:pPr>
      <w:bookmarkStart w:id="14" w:name="_Toc492384573"/>
      <w:r>
        <w:t>calculations</w:t>
      </w:r>
      <w:bookmarkEnd w:id="14"/>
    </w:p>
    <w:p w14:paraId="56BFF8E0" w14:textId="1DBB8FF4" w:rsidR="006A5D49" w:rsidRDefault="006A5D49" w:rsidP="00EB261F">
      <w:pPr>
        <w:pStyle w:val="Heading2"/>
      </w:pPr>
      <w:bookmarkStart w:id="15" w:name="_Toc492384574"/>
      <w:r>
        <w:t>Offices in E03 and E04</w:t>
      </w:r>
      <w:bookmarkEnd w:id="15"/>
    </w:p>
    <w:p w14:paraId="33267C0B" w14:textId="55868E3A" w:rsidR="009352C6" w:rsidRPr="00443F7A" w:rsidRDefault="00443F7A" w:rsidP="006A58AE">
      <w:pPr>
        <w:rPr>
          <w:b/>
        </w:rPr>
      </w:pPr>
      <w:r w:rsidRPr="00443F7A">
        <w:rPr>
          <w:b/>
        </w:rPr>
        <w:t>Accelerator contribution</w:t>
      </w:r>
    </w:p>
    <w:p w14:paraId="559C36E9" w14:textId="5D11414F" w:rsidR="006A58AE" w:rsidRPr="00443F7A" w:rsidRDefault="00443F7A" w:rsidP="00B0075E">
      <w:pPr>
        <w:jc w:val="both"/>
      </w:pPr>
      <w:r w:rsidRPr="00443F7A">
        <w:t xml:space="preserve">The </w:t>
      </w:r>
      <w:r w:rsidR="00106B39">
        <w:t xml:space="preserve">predicted </w:t>
      </w:r>
      <w:r w:rsidRPr="00443F7A">
        <w:t xml:space="preserve">dose </w:t>
      </w:r>
      <w:r w:rsidR="00106B39">
        <w:t xml:space="preserve">contribution in these offices coming from the accelerator can be taken from figure 11 </w:t>
      </w:r>
      <w:r w:rsidR="00D73A1E">
        <w:t xml:space="preserve">in [1]. In accordance with this figure, the predicted dose </w:t>
      </w:r>
      <w:r w:rsidR="00B0075E">
        <w:t xml:space="preserve">contribution </w:t>
      </w:r>
      <w:r w:rsidR="00D73A1E">
        <w:t xml:space="preserve">from the </w:t>
      </w:r>
      <w:r w:rsidR="00B0075E">
        <w:t xml:space="preserve">accelerator is 3 nSv/h. At 2000 hours a year, for a worker on site, the annual dose rate </w:t>
      </w:r>
      <w:r w:rsidR="00933FD7">
        <w:t>D</w:t>
      </w:r>
      <w:r w:rsidR="00933FD7" w:rsidRPr="00933FD7">
        <w:rPr>
          <w:vertAlign w:val="subscript"/>
        </w:rPr>
        <w:t>A</w:t>
      </w:r>
      <w:r w:rsidR="00933FD7">
        <w:t xml:space="preserve"> </w:t>
      </w:r>
      <w:r w:rsidR="00B0075E">
        <w:t xml:space="preserve">amounts to about 6 </w:t>
      </w:r>
      <w:r w:rsidR="00B0075E" w:rsidRPr="00B0075E">
        <w:rPr>
          <w:rFonts w:ascii="Symbol" w:hAnsi="Symbol"/>
        </w:rPr>
        <w:t></w:t>
      </w:r>
      <w:r w:rsidR="00B0075E">
        <w:t>Sv/year. Add the same time, one needs to point out, that this is a conservative estimate, because in the results shown in [1], the target building was not included in the simulations, which leads to an over prediction of the dose levels downstream of the accelerator tunnel.</w:t>
      </w:r>
    </w:p>
    <w:p w14:paraId="5DC042ED" w14:textId="3EF1683D" w:rsidR="006A58AE" w:rsidRDefault="00C24F98" w:rsidP="006B7CEA">
      <w:pPr>
        <w:rPr>
          <w:b/>
        </w:rPr>
      </w:pPr>
      <w:r>
        <w:rPr>
          <w:b/>
        </w:rPr>
        <w:t xml:space="preserve">Target </w:t>
      </w:r>
      <w:r w:rsidR="00D53210">
        <w:rPr>
          <w:b/>
        </w:rPr>
        <w:t>contribution</w:t>
      </w:r>
    </w:p>
    <w:p w14:paraId="3C3E4717" w14:textId="235A080A" w:rsidR="00D53210" w:rsidRDefault="009A1095" w:rsidP="006B7CEA">
      <w:r>
        <w:t xml:space="preserve">Considering the </w:t>
      </w:r>
      <w:r w:rsidR="00CE05BB">
        <w:t>geometry shown in [2]</w:t>
      </w:r>
      <w:r w:rsidR="00A5653A">
        <w:t>,</w:t>
      </w:r>
      <w:r w:rsidR="00CE05BB">
        <w:t xml:space="preserve"> the target contribution can be considered as a spherical source with a </w:t>
      </w:r>
      <w:r w:rsidR="00005A10">
        <w:t>R</w:t>
      </w:r>
      <w:r w:rsidR="00005A10" w:rsidRPr="00005A10">
        <w:rPr>
          <w:vertAlign w:val="subscript"/>
        </w:rPr>
        <w:t>m</w:t>
      </w:r>
      <w:r w:rsidR="00005A10">
        <w:t>=</w:t>
      </w:r>
      <w:r w:rsidR="00CE05BB">
        <w:t xml:space="preserve">6 m radius. </w:t>
      </w:r>
      <w:r w:rsidR="00005A10">
        <w:t>T</w:t>
      </w:r>
      <w:r w:rsidR="00A5653A">
        <w:t xml:space="preserve">he offices </w:t>
      </w:r>
      <w:r w:rsidR="00005A10">
        <w:t>in question are at about R</w:t>
      </w:r>
      <w:r w:rsidR="00005A10" w:rsidRPr="00005A10">
        <w:rPr>
          <w:vertAlign w:val="subscript"/>
        </w:rPr>
        <w:t>off</w:t>
      </w:r>
      <w:r w:rsidR="00005A10">
        <w:t xml:space="preserve">=150 m from the origin of the target coordinate system, the target contribution </w:t>
      </w:r>
      <w:r w:rsidR="00F82C38">
        <w:t>D</w:t>
      </w:r>
      <w:r w:rsidR="002A0F4D" w:rsidRPr="002A0F4D">
        <w:rPr>
          <w:vertAlign w:val="subscript"/>
        </w:rPr>
        <w:t>T</w:t>
      </w:r>
      <w:r w:rsidR="00F82C38">
        <w:t xml:space="preserve"> </w:t>
      </w:r>
      <w:r w:rsidR="00005A10">
        <w:t>to these offices can be estimated as:</w:t>
      </w:r>
    </w:p>
    <w:p w14:paraId="27B9B985" w14:textId="48D4B614" w:rsidR="00005A10" w:rsidRDefault="00EA6979" w:rsidP="006B7CEA">
      <m:oMathPara>
        <m:oMath>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m</m:t>
                          </m:r>
                        </m:sub>
                      </m:sSub>
                    </m:num>
                    <m:den>
                      <m:sSub>
                        <m:sSubPr>
                          <m:ctrlPr>
                            <w:rPr>
                              <w:rFonts w:ascii="Cambria Math" w:hAnsi="Cambria Math"/>
                              <w:i/>
                            </w:rPr>
                          </m:ctrlPr>
                        </m:sSubPr>
                        <m:e>
                          <m:r>
                            <w:rPr>
                              <w:rFonts w:ascii="Cambria Math" w:hAnsi="Cambria Math"/>
                            </w:rPr>
                            <m:t>R</m:t>
                          </m:r>
                        </m:e>
                        <m:sub>
                          <m:r>
                            <w:rPr>
                              <w:rFonts w:ascii="Cambria Math" w:hAnsi="Cambria Math"/>
                            </w:rPr>
                            <m:t>off</m:t>
                          </m:r>
                        </m:sub>
                      </m:sSub>
                    </m:den>
                  </m:f>
                </m:e>
              </m:d>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γ</m:t>
                  </m:r>
                </m:sub>
              </m:sSub>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air</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off-</m:t>
                          </m:r>
                        </m:sub>
                      </m:sSub>
                      <m:sSub>
                        <m:sSubPr>
                          <m:ctrlPr>
                            <w:rPr>
                              <w:rFonts w:ascii="Cambria Math" w:hAnsi="Cambria Math"/>
                              <w:i/>
                            </w:rPr>
                          </m:ctrlPr>
                        </m:sSubPr>
                        <m:e>
                          <m:r>
                            <w:rPr>
                              <w:rFonts w:ascii="Cambria Math" w:hAnsi="Cambria Math"/>
                            </w:rPr>
                            <m:t>R</m:t>
                          </m:r>
                        </m:e>
                        <m:sub>
                          <m:r>
                            <w:rPr>
                              <w:rFonts w:ascii="Cambria Math" w:hAnsi="Cambria Math"/>
                            </w:rPr>
                            <m:t>m</m:t>
                          </m:r>
                        </m:sub>
                      </m:sSub>
                    </m:e>
                  </m:d>
                </m:sup>
              </m:sSup>
            </m:e>
          </m:d>
        </m:oMath>
      </m:oMathPara>
    </w:p>
    <w:p w14:paraId="36CA79E0" w14:textId="0B53029A" w:rsidR="00005A10" w:rsidRDefault="00F82C38" w:rsidP="00306A8F">
      <w:pPr>
        <w:jc w:val="both"/>
      </w:pPr>
      <w:r>
        <w:t>, with D</w:t>
      </w:r>
      <w:r w:rsidRPr="00F82C38">
        <w:rPr>
          <w:vertAlign w:val="subscript"/>
        </w:rPr>
        <w:t>n</w:t>
      </w:r>
      <w:r>
        <w:t xml:space="preserve"> and D</w:t>
      </w:r>
      <w:r w:rsidRPr="00F82C38">
        <w:rPr>
          <w:rFonts w:ascii="Symbol" w:hAnsi="Symbol"/>
          <w:vertAlign w:val="subscript"/>
        </w:rPr>
        <w:t></w:t>
      </w:r>
      <w:r>
        <w:t xml:space="preserve"> are </w:t>
      </w:r>
      <w:r w:rsidR="00853E76">
        <w:t xml:space="preserve">being the neutron and </w:t>
      </w:r>
      <w:r>
        <w:t>the gamma dose rates at the outer surface of the connection cell. For simplification reasons, it can be assumed that D</w:t>
      </w:r>
      <w:r w:rsidRPr="00F82C38">
        <w:rPr>
          <w:vertAlign w:val="subscript"/>
        </w:rPr>
        <w:t>n</w:t>
      </w:r>
      <w:r>
        <w:t>=D</w:t>
      </w:r>
      <w:r w:rsidRPr="00F82C38">
        <w:rPr>
          <w:rFonts w:ascii="Symbol" w:hAnsi="Symbol"/>
          <w:vertAlign w:val="subscript"/>
        </w:rPr>
        <w:t></w:t>
      </w:r>
      <w:r>
        <w:t xml:space="preserve">=0.75 </w:t>
      </w:r>
      <w:r w:rsidRPr="00F82C38">
        <w:rPr>
          <w:rFonts w:ascii="Symbol" w:hAnsi="Symbol"/>
        </w:rPr>
        <w:t></w:t>
      </w:r>
      <w:r>
        <w:t>Sv/h for the prediction.</w:t>
      </w:r>
      <w:r w:rsidR="00426CE4">
        <w:t xml:space="preserve"> As mentioned above the tenth layer for the gamma attenuation in air is given with 300 m. Therefore </w:t>
      </w:r>
      <w:r w:rsidR="00426CE4" w:rsidRPr="00426CE4">
        <w:rPr>
          <w:rFonts w:ascii="Symbol" w:hAnsi="Symbol"/>
        </w:rPr>
        <w:t></w:t>
      </w:r>
      <w:r w:rsidR="00426CE4" w:rsidRPr="00426CE4">
        <w:rPr>
          <w:vertAlign w:val="subscript"/>
        </w:rPr>
        <w:t>air</w:t>
      </w:r>
      <w:r w:rsidR="00E76186">
        <w:t xml:space="preserve"> = ln(10)/300m. </w:t>
      </w:r>
      <w:r w:rsidR="00306A8F">
        <w:t xml:space="preserve">This results in D=1.6 nSv/h = 3.2 </w:t>
      </w:r>
      <w:r w:rsidR="00306A8F" w:rsidRPr="00306A8F">
        <w:rPr>
          <w:rFonts w:ascii="Symbol" w:hAnsi="Symbol"/>
        </w:rPr>
        <w:t></w:t>
      </w:r>
      <w:r w:rsidR="00306A8F">
        <w:t>Sv/year.</w:t>
      </w:r>
    </w:p>
    <w:p w14:paraId="1885E32F" w14:textId="56B0EE76" w:rsidR="00DC61D0" w:rsidRPr="0048121C" w:rsidRDefault="00DC61D0" w:rsidP="00306A8F">
      <w:pPr>
        <w:jc w:val="both"/>
        <w:rPr>
          <w:b/>
        </w:rPr>
      </w:pPr>
      <w:r w:rsidRPr="0048121C">
        <w:rPr>
          <w:b/>
        </w:rPr>
        <w:t>NSS contribution</w:t>
      </w:r>
    </w:p>
    <w:p w14:paraId="636938B2" w14:textId="2B68B136" w:rsidR="00DC61D0" w:rsidRDefault="00DC61D0" w:rsidP="00306A8F">
      <w:pPr>
        <w:jc w:val="both"/>
      </w:pPr>
      <w:r>
        <w:t>As stated in chapter 7 it can be assumed, that the closest instrument cave is R</w:t>
      </w:r>
      <w:r w:rsidRPr="00DC61D0">
        <w:rPr>
          <w:vertAlign w:val="subscript"/>
        </w:rPr>
        <w:t>1</w:t>
      </w:r>
      <w:r>
        <w:t>=15 m from the closed offices. The next two closest instruments are assumed to be R</w:t>
      </w:r>
      <w:r w:rsidRPr="00DC61D0">
        <w:rPr>
          <w:vertAlign w:val="subscript"/>
        </w:rPr>
        <w:t>2</w:t>
      </w:r>
      <w:r>
        <w:t>=30 m away and the third closest instruments are R</w:t>
      </w:r>
      <w:r w:rsidRPr="00DC61D0">
        <w:rPr>
          <w:vertAlign w:val="subscript"/>
        </w:rPr>
        <w:t>3</w:t>
      </w:r>
      <w:r>
        <w:t>=45 m away. For simplification reasons, it can again be assumed that D</w:t>
      </w:r>
      <w:r w:rsidRPr="00F82C38">
        <w:rPr>
          <w:vertAlign w:val="subscript"/>
        </w:rPr>
        <w:t>n</w:t>
      </w:r>
      <w:r>
        <w:t>=D</w:t>
      </w:r>
      <w:r w:rsidRPr="00F82C38">
        <w:rPr>
          <w:rFonts w:ascii="Symbol" w:hAnsi="Symbol"/>
          <w:vertAlign w:val="subscript"/>
        </w:rPr>
        <w:t></w:t>
      </w:r>
      <w:r>
        <w:t xml:space="preserve">=0.75 </w:t>
      </w:r>
      <w:r w:rsidRPr="00F82C38">
        <w:rPr>
          <w:rFonts w:ascii="Symbol" w:hAnsi="Symbol"/>
        </w:rPr>
        <w:t></w:t>
      </w:r>
      <w:r w:rsidR="001378DC">
        <w:t>Sv/h</w:t>
      </w:r>
      <w:r>
        <w:t>.</w:t>
      </w:r>
      <w:r w:rsidR="006D282D">
        <w:t xml:space="preserve"> The dose contrib</w:t>
      </w:r>
      <w:r w:rsidR="00147202">
        <w:t>ution in these offices from NSS is then given as:</w:t>
      </w:r>
    </w:p>
    <w:p w14:paraId="2044F125" w14:textId="1FB7E2A6" w:rsidR="0043472B" w:rsidRDefault="00EA6979" w:rsidP="0043472B">
      <m:oMathPara>
        <m:oMath>
          <m:sSub>
            <m:sSubPr>
              <m:ctrlPr>
                <w:rPr>
                  <w:rFonts w:ascii="Cambria Math" w:hAnsi="Cambria Math"/>
                  <w:i/>
                </w:rPr>
              </m:ctrlPr>
            </m:sSubPr>
            <m:e>
              <m:r>
                <w:rPr>
                  <w:rFonts w:ascii="Cambria Math" w:hAnsi="Cambria Math"/>
                </w:rPr>
                <m:t>D</m:t>
              </m:r>
            </m:e>
            <m:sub>
              <m:r>
                <w:rPr>
                  <w:rFonts w:ascii="Cambria Math" w:hAnsi="Cambria Math"/>
                </w:rPr>
                <m:t>NSS</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i</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Cave</m:t>
                              </m:r>
                            </m:sub>
                          </m:sSub>
                        </m:num>
                        <m:den>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Cave</m:t>
                              </m:r>
                            </m:sub>
                          </m:sSub>
                        </m:den>
                      </m:f>
                    </m:e>
                  </m:d>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γ</m:t>
                      </m:r>
                    </m:sub>
                  </m:sSub>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air</m:t>
                          </m:r>
                        </m:sub>
                      </m:sSub>
                      <m:sSub>
                        <m:sSubPr>
                          <m:ctrlPr>
                            <w:rPr>
                              <w:rFonts w:ascii="Cambria Math" w:hAnsi="Cambria Math"/>
                              <w:i/>
                            </w:rPr>
                          </m:ctrlPr>
                        </m:sSubPr>
                        <m:e>
                          <m:r>
                            <w:rPr>
                              <w:rFonts w:ascii="Cambria Math" w:hAnsi="Cambria Math"/>
                            </w:rPr>
                            <m:t>R</m:t>
                          </m:r>
                        </m:e>
                        <m:sub>
                          <m:r>
                            <w:rPr>
                              <w:rFonts w:ascii="Cambria Math" w:hAnsi="Cambria Math"/>
                            </w:rPr>
                            <m:t>i</m:t>
                          </m:r>
                        </m:sub>
                      </m:sSub>
                    </m:sup>
                  </m:sSup>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wall</m:t>
                          </m:r>
                        </m:sub>
                      </m:sSub>
                      <m:sSub>
                        <m:sSubPr>
                          <m:ctrlPr>
                            <w:rPr>
                              <w:rFonts w:ascii="Cambria Math" w:hAnsi="Cambria Math"/>
                              <w:i/>
                            </w:rPr>
                          </m:ctrlPr>
                        </m:sSubPr>
                        <m:e>
                          <m:r>
                            <w:rPr>
                              <w:rFonts w:ascii="Cambria Math" w:hAnsi="Cambria Math"/>
                            </w:rPr>
                            <m:t>D</m:t>
                          </m:r>
                        </m:e>
                        <m:sub>
                          <m:r>
                            <w:rPr>
                              <w:rFonts w:ascii="Cambria Math" w:hAnsi="Cambria Math"/>
                            </w:rPr>
                            <m:t>wall</m:t>
                          </m:r>
                        </m:sub>
                      </m:sSub>
                    </m:sup>
                  </m:sSup>
                </m:e>
              </m:d>
            </m:e>
          </m:nary>
        </m:oMath>
      </m:oMathPara>
    </w:p>
    <w:p w14:paraId="258AC99A" w14:textId="3E64F0AF" w:rsidR="00147202" w:rsidRDefault="00147202" w:rsidP="00306A8F">
      <w:pPr>
        <w:jc w:val="both"/>
      </w:pPr>
    </w:p>
    <w:p w14:paraId="09E7B458" w14:textId="2922722C" w:rsidR="009B31B6" w:rsidRDefault="001378DC" w:rsidP="00306A8F">
      <w:pPr>
        <w:jc w:val="both"/>
      </w:pPr>
      <w:r>
        <w:t>, with R</w:t>
      </w:r>
      <w:r w:rsidRPr="00606A30">
        <w:rPr>
          <w:vertAlign w:val="subscript"/>
        </w:rPr>
        <w:t>Cave</w:t>
      </w:r>
      <w:r>
        <w:t>=3 m being the instrument cave radius and N</w:t>
      </w:r>
      <w:r w:rsidRPr="00606A30">
        <w:rPr>
          <w:vertAlign w:val="subscript"/>
        </w:rPr>
        <w:t>1</w:t>
      </w:r>
      <w:r>
        <w:t>=1, N</w:t>
      </w:r>
      <w:r w:rsidRPr="00606A30">
        <w:rPr>
          <w:vertAlign w:val="subscript"/>
        </w:rPr>
        <w:t>2</w:t>
      </w:r>
      <w:r>
        <w:t>=2 and N</w:t>
      </w:r>
      <w:r w:rsidRPr="00606A30">
        <w:rPr>
          <w:vertAlign w:val="subscript"/>
        </w:rPr>
        <w:t>3</w:t>
      </w:r>
      <w:r>
        <w:t>=2 being the counter for the number of instruments at the distance R</w:t>
      </w:r>
      <w:r w:rsidRPr="00606A30">
        <w:rPr>
          <w:vertAlign w:val="subscript"/>
        </w:rPr>
        <w:t>i</w:t>
      </w:r>
      <w:r>
        <w:t>.</w:t>
      </w:r>
      <w:r w:rsidR="00242DE9">
        <w:t xml:space="preserve"> </w:t>
      </w:r>
      <w:r w:rsidR="009B31B6">
        <w:t>Furthermore, it is assumed that</w:t>
      </w:r>
      <w:r w:rsidR="007868DF">
        <w:t xml:space="preserve"> shell</w:t>
      </w:r>
      <w:r w:rsidR="009B31B6">
        <w:t xml:space="preserve"> </w:t>
      </w:r>
      <w:r w:rsidR="007868DF">
        <w:t xml:space="preserve">of the office building </w:t>
      </w:r>
      <w:r w:rsidR="009B31B6">
        <w:t xml:space="preserve">wall is built out </w:t>
      </w:r>
      <w:r w:rsidR="007868DF">
        <w:t>5mm sheet metal, which leads to D</w:t>
      </w:r>
      <w:r w:rsidR="007868DF" w:rsidRPr="007868DF">
        <w:rPr>
          <w:vertAlign w:val="subscript"/>
        </w:rPr>
        <w:t>wall</w:t>
      </w:r>
      <w:r w:rsidR="007868DF">
        <w:t xml:space="preserve">=1cm. The tenth layer for steel given by [3] is 6cm, which leads to </w:t>
      </w:r>
      <w:r w:rsidR="007868DF" w:rsidRPr="007868DF">
        <w:rPr>
          <w:rFonts w:ascii="Symbol" w:hAnsi="Symbol"/>
        </w:rPr>
        <w:t></w:t>
      </w:r>
      <w:r w:rsidR="007868DF" w:rsidRPr="007868DF">
        <w:rPr>
          <w:vertAlign w:val="subscript"/>
        </w:rPr>
        <w:t>wall</w:t>
      </w:r>
      <w:r w:rsidR="007868DF">
        <w:t>=ln(10)/6cm.</w:t>
      </w:r>
    </w:p>
    <w:p w14:paraId="33B75B36" w14:textId="18FE5349" w:rsidR="00147202" w:rsidRDefault="00242DE9" w:rsidP="00306A8F">
      <w:pPr>
        <w:jc w:val="both"/>
      </w:pPr>
      <w:r>
        <w:t xml:space="preserve">Based on these assumptions the </w:t>
      </w:r>
      <w:r w:rsidR="00963CC6">
        <w:t xml:space="preserve">contribution from the closest instrument is predicted to by about 33 nSv/h. The combined contribution from the two second closest instruments is predicted to be about 19 nSv/h, and the one from the 2 third closest instruments is </w:t>
      </w:r>
      <w:r w:rsidR="00A554C0">
        <w:t>about 10</w:t>
      </w:r>
      <w:r w:rsidR="005765E1">
        <w:t xml:space="preserve"> nSv/h. </w:t>
      </w:r>
      <w:r w:rsidR="00A554C0">
        <w:t xml:space="preserve">This amount to 62 nSv/h. </w:t>
      </w:r>
      <w:r w:rsidR="00175C1A">
        <w:t xml:space="preserve">Based on the seen falloff of the contribution due to distance, and the fact that the instruments further way from the offices, will be at least partly shielded by the closer instruments, it can be assumed that the contribution of the remaining instruments will add less than 10%, and will be therefore </w:t>
      </w:r>
      <w:r w:rsidR="00D41104">
        <w:t xml:space="preserve">be </w:t>
      </w:r>
      <w:r w:rsidR="00175C1A">
        <w:t xml:space="preserve">neglected at this point, because this is well within the uncertainty of this estimate. The annual dose contribution to </w:t>
      </w:r>
      <w:r w:rsidR="00C03670">
        <w:t xml:space="preserve">these offices from NSS </w:t>
      </w:r>
      <w:r w:rsidR="00D41104">
        <w:t xml:space="preserve">therefore </w:t>
      </w:r>
      <w:r w:rsidR="00C03670">
        <w:t xml:space="preserve">amounts to 124 </w:t>
      </w:r>
      <w:r w:rsidR="00C03670" w:rsidRPr="00C03670">
        <w:rPr>
          <w:rFonts w:ascii="Symbol" w:hAnsi="Symbol"/>
        </w:rPr>
        <w:t></w:t>
      </w:r>
      <w:r w:rsidR="00C03670">
        <w:t>Sv/year.</w:t>
      </w:r>
    </w:p>
    <w:p w14:paraId="07FE49BC" w14:textId="77777777" w:rsidR="00FF04CF" w:rsidRPr="00595610" w:rsidRDefault="00FF04CF" w:rsidP="00FF04CF">
      <w:pPr>
        <w:jc w:val="both"/>
        <w:rPr>
          <w:b/>
        </w:rPr>
      </w:pPr>
      <w:r w:rsidRPr="00595610">
        <w:rPr>
          <w:b/>
        </w:rPr>
        <w:t>NSS skyshine</w:t>
      </w:r>
    </w:p>
    <w:p w14:paraId="415F6034" w14:textId="5E139F01" w:rsidR="00FF04CF" w:rsidRDefault="00FF04CF" w:rsidP="00FF04CF">
      <w:pPr>
        <w:jc w:val="both"/>
      </w:pPr>
      <w:r>
        <w:t xml:space="preserve">In accordance with [9] figure 5 the total NSS skyshine contribution in the offices in E03 and E04 was estimated to be about 20 </w:t>
      </w:r>
      <w:r w:rsidRPr="00C75D32">
        <w:rPr>
          <w:rFonts w:ascii="Symbol" w:hAnsi="Symbol"/>
        </w:rPr>
        <w:t></w:t>
      </w:r>
      <w:r>
        <w:t xml:space="preserve">Sv/year. This result assumed a high energy neutron leakage rate on top of the bunker of 1 </w:t>
      </w:r>
      <w:r w:rsidRPr="00C75D32">
        <w:rPr>
          <w:rFonts w:ascii="Symbol" w:hAnsi="Symbol"/>
        </w:rPr>
        <w:t></w:t>
      </w:r>
      <w:r>
        <w:t xml:space="preserve">Sv/h, and 5400 hours of operation. However, the maximum occupancy of the offices in the campus area is 2000 hours per year. Adjusting for the hours spend, this leads to a contribution of about 7.5 </w:t>
      </w:r>
      <w:r w:rsidRPr="00C75D32">
        <w:rPr>
          <w:rFonts w:ascii="Symbol" w:hAnsi="Symbol"/>
        </w:rPr>
        <w:t></w:t>
      </w:r>
      <w:r>
        <w:t xml:space="preserve">Sv/year, which have of it coming from the instruments and half coming from the bunker roof. If the bunker roof were to reclassified and the allowed leakage rate increased by a factor of 10, this would increase the NSS skyshine contribution to about 41 </w:t>
      </w:r>
      <w:r w:rsidRPr="00C75D32">
        <w:rPr>
          <w:rFonts w:ascii="Symbol" w:hAnsi="Symbol"/>
        </w:rPr>
        <w:t></w:t>
      </w:r>
      <w:r>
        <w:t>Sv/year.</w:t>
      </w:r>
    </w:p>
    <w:p w14:paraId="152D5EC0" w14:textId="65DB9ACE" w:rsidR="0048121C" w:rsidRPr="00555FAF" w:rsidRDefault="0048121C" w:rsidP="00306A8F">
      <w:pPr>
        <w:jc w:val="both"/>
        <w:rPr>
          <w:b/>
        </w:rPr>
      </w:pPr>
      <w:r w:rsidRPr="00555FAF">
        <w:rPr>
          <w:b/>
        </w:rPr>
        <w:t>ESS total</w:t>
      </w:r>
    </w:p>
    <w:p w14:paraId="0898B81B" w14:textId="44DEEF07" w:rsidR="0048121C" w:rsidRDefault="0048121C" w:rsidP="00306A8F">
      <w:pPr>
        <w:jc w:val="both"/>
      </w:pPr>
      <w:r>
        <w:t xml:space="preserve">Adding up the </w:t>
      </w:r>
      <w:r w:rsidR="007F1A86">
        <w:t xml:space="preserve">contributions from accelerator, target and NSS, the total amounts to </w:t>
      </w:r>
      <w:r w:rsidR="00653B9F">
        <w:t>about 140</w:t>
      </w:r>
      <w:r w:rsidR="000D690C">
        <w:t xml:space="preserve"> </w:t>
      </w:r>
      <w:r w:rsidR="000D690C" w:rsidRPr="000D690C">
        <w:rPr>
          <w:rFonts w:ascii="Symbol" w:hAnsi="Symbol"/>
        </w:rPr>
        <w:t></w:t>
      </w:r>
      <w:r w:rsidR="000D690C">
        <w:t>Sv/year</w:t>
      </w:r>
      <w:r w:rsidR="00653B9F">
        <w:t xml:space="preserve"> with the bunker roof being a supervised area, and about 17</w:t>
      </w:r>
      <w:r w:rsidR="002F0113">
        <w:t>4</w:t>
      </w:r>
      <w:r w:rsidR="00653B9F">
        <w:t xml:space="preserve"> </w:t>
      </w:r>
      <w:r w:rsidR="00653B9F" w:rsidRPr="00653B9F">
        <w:rPr>
          <w:rFonts w:ascii="Symbol" w:hAnsi="Symbol"/>
        </w:rPr>
        <w:t></w:t>
      </w:r>
      <w:r w:rsidR="00653B9F">
        <w:t>Sv/year with the bunker roof being an unrestricted controlled area</w:t>
      </w:r>
      <w:r w:rsidR="000D690C">
        <w:t>.</w:t>
      </w:r>
    </w:p>
    <w:p w14:paraId="5F9907FE" w14:textId="43FCF290" w:rsidR="00F66C38" w:rsidRDefault="00F66C38" w:rsidP="00306A8F">
      <w:pPr>
        <w:jc w:val="both"/>
      </w:pPr>
      <w:r>
        <w:t xml:space="preserve">If one applies a safety </w:t>
      </w:r>
      <w:r w:rsidR="00653B9F">
        <w:t>factor of 2, this amounts to 280</w:t>
      </w:r>
      <w:r>
        <w:t xml:space="preserve"> </w:t>
      </w:r>
      <w:r w:rsidRPr="00F66C38">
        <w:rPr>
          <w:rFonts w:ascii="Symbol" w:hAnsi="Symbol"/>
        </w:rPr>
        <w:t></w:t>
      </w:r>
      <w:r>
        <w:t xml:space="preserve">Sv/year </w:t>
      </w:r>
      <w:r w:rsidR="00F23AAC">
        <w:t>or</w:t>
      </w:r>
      <w:r w:rsidR="00782527">
        <w:t xml:space="preserve"> 348 </w:t>
      </w:r>
      <w:r w:rsidR="00782527" w:rsidRPr="00782527">
        <w:rPr>
          <w:rFonts w:ascii="Symbol" w:hAnsi="Symbol"/>
        </w:rPr>
        <w:t></w:t>
      </w:r>
      <w:r w:rsidR="00782527">
        <w:t xml:space="preserve">Sv/year respectively </w:t>
      </w:r>
      <w:r>
        <w:t>for a worker that spends 2000 hours per yea</w:t>
      </w:r>
      <w:r w:rsidR="00B932E5">
        <w:t>r in these offices. Considering</w:t>
      </w:r>
      <w:r>
        <w:t xml:space="preserve"> the workers that will occupy these offices, it can be assumed, that their occupancy factor in these offices is about 10%.</w:t>
      </w:r>
      <w:r w:rsidR="003955A3">
        <w:t xml:space="preserve"> This means, that the dose they receive per year while work</w:t>
      </w:r>
      <w:r w:rsidR="00B932E5">
        <w:t>ing in these offices is about 28</w:t>
      </w:r>
      <w:r w:rsidR="003955A3">
        <w:t xml:space="preserve"> </w:t>
      </w:r>
      <w:r w:rsidR="003955A3" w:rsidRPr="003955A3">
        <w:rPr>
          <w:rFonts w:ascii="Symbol" w:hAnsi="Symbol"/>
        </w:rPr>
        <w:t></w:t>
      </w:r>
      <w:r w:rsidR="003955A3">
        <w:t>Sv</w:t>
      </w:r>
      <w:r w:rsidR="00B932E5">
        <w:t xml:space="preserve"> </w:t>
      </w:r>
      <w:r w:rsidR="00F23AAC">
        <w:t>or</w:t>
      </w:r>
      <w:r w:rsidR="00B932E5">
        <w:t xml:space="preserve"> 35 </w:t>
      </w:r>
      <w:r w:rsidR="00B932E5" w:rsidRPr="003955A3">
        <w:rPr>
          <w:rFonts w:ascii="Symbol" w:hAnsi="Symbol"/>
        </w:rPr>
        <w:t></w:t>
      </w:r>
      <w:r w:rsidR="00B932E5">
        <w:t>Sv respectively</w:t>
      </w:r>
      <w:r w:rsidR="003955A3">
        <w:t xml:space="preserve">. If these offices were shielded to 50 </w:t>
      </w:r>
      <w:r w:rsidR="003955A3" w:rsidRPr="003955A3">
        <w:rPr>
          <w:rFonts w:ascii="Symbol" w:hAnsi="Symbol"/>
        </w:rPr>
        <w:t></w:t>
      </w:r>
      <w:r w:rsidR="003955A3">
        <w:t xml:space="preserve">Sv/year, their annual dose from working in these offices would be 5 </w:t>
      </w:r>
      <w:r w:rsidR="003955A3" w:rsidRPr="003955A3">
        <w:rPr>
          <w:rFonts w:ascii="Symbol" w:hAnsi="Symbol"/>
        </w:rPr>
        <w:t></w:t>
      </w:r>
      <w:r w:rsidR="003955A3">
        <w:t xml:space="preserve">Sv. This means, be not imposing the 50 </w:t>
      </w:r>
      <w:r w:rsidR="003955A3" w:rsidRPr="003955A3">
        <w:rPr>
          <w:rFonts w:ascii="Symbol" w:hAnsi="Symbol"/>
        </w:rPr>
        <w:t></w:t>
      </w:r>
      <w:r w:rsidR="003955A3">
        <w:t>Sv/year re</w:t>
      </w:r>
      <w:r w:rsidR="00F23AAC">
        <w:t>quirement on these offices the undissipated</w:t>
      </w:r>
      <w:r w:rsidR="003955A3">
        <w:t xml:space="preserve"> additional dose t</w:t>
      </w:r>
      <w:r w:rsidR="00F23AAC">
        <w:t>o the works per year is about 23</w:t>
      </w:r>
      <w:r w:rsidR="003955A3">
        <w:t xml:space="preserve"> </w:t>
      </w:r>
      <w:r w:rsidR="003955A3" w:rsidRPr="003955A3">
        <w:rPr>
          <w:rFonts w:ascii="Symbol" w:hAnsi="Symbol"/>
        </w:rPr>
        <w:t></w:t>
      </w:r>
      <w:r w:rsidR="003955A3">
        <w:t>Sv</w:t>
      </w:r>
      <w:r w:rsidR="00F23AAC">
        <w:t xml:space="preserve"> or 30 </w:t>
      </w:r>
      <w:r w:rsidR="00F23AAC" w:rsidRPr="003955A3">
        <w:rPr>
          <w:rFonts w:ascii="Symbol" w:hAnsi="Symbol"/>
        </w:rPr>
        <w:t></w:t>
      </w:r>
      <w:r w:rsidR="00F23AAC">
        <w:t>Sv respectively depending on the zoning classification of the roof of the bunker</w:t>
      </w:r>
      <w:r w:rsidR="003955A3">
        <w:t>.</w:t>
      </w:r>
    </w:p>
    <w:p w14:paraId="2CF31BDE" w14:textId="0580EB8B" w:rsidR="00391C1D" w:rsidRPr="00AD1D1A" w:rsidRDefault="00391C1D" w:rsidP="00EB261F">
      <w:pPr>
        <w:pStyle w:val="Heading2"/>
      </w:pPr>
      <w:bookmarkStart w:id="16" w:name="_Toc492384575"/>
      <w:r w:rsidRPr="00AD1D1A">
        <w:lastRenderedPageBreak/>
        <w:t>Offices in the campus area</w:t>
      </w:r>
      <w:bookmarkEnd w:id="16"/>
    </w:p>
    <w:p w14:paraId="6DF2D6D7" w14:textId="7641A93C" w:rsidR="002D61CC" w:rsidRPr="002D61CC" w:rsidRDefault="002D61CC" w:rsidP="00306A8F">
      <w:pPr>
        <w:jc w:val="both"/>
        <w:rPr>
          <w:b/>
        </w:rPr>
      </w:pPr>
      <w:r w:rsidRPr="002D61CC">
        <w:rPr>
          <w:b/>
        </w:rPr>
        <w:t>Accelerator and Target contribution</w:t>
      </w:r>
    </w:p>
    <w:p w14:paraId="319EE446" w14:textId="6B546BC7" w:rsidR="00AD1D1A" w:rsidRDefault="002D61CC" w:rsidP="00306A8F">
      <w:pPr>
        <w:jc w:val="both"/>
      </w:pPr>
      <w:r>
        <w:t xml:space="preserve">Based on the layout shown in [7], it can be said that the </w:t>
      </w:r>
      <w:r w:rsidR="0032608D">
        <w:t xml:space="preserve">closest </w:t>
      </w:r>
      <w:r w:rsidR="002139A6">
        <w:t>offices</w:t>
      </w:r>
      <w:r w:rsidR="0032608D">
        <w:t xml:space="preserve"> </w:t>
      </w:r>
      <w:r w:rsidR="002139A6">
        <w:t>in the campus area have about the same distance to the monolith and the A2T section as the offices in E03 and E04. Therefore, the results shown in chapter 11.1 for the accelerator and the target contribution, can also be applied in this case.</w:t>
      </w:r>
      <w:r w:rsidR="00414B5B">
        <w:t xml:space="preserve"> This leads to a combined contribution from accelerator and target of about 9 </w:t>
      </w:r>
      <w:r w:rsidR="00414B5B" w:rsidRPr="00414B5B">
        <w:rPr>
          <w:rFonts w:ascii="Symbol" w:hAnsi="Symbol"/>
        </w:rPr>
        <w:t></w:t>
      </w:r>
      <w:r w:rsidR="00414B5B">
        <w:t>Sv/year.</w:t>
      </w:r>
    </w:p>
    <w:p w14:paraId="42660C25" w14:textId="5FECBA89" w:rsidR="00614574" w:rsidRPr="00347BE6" w:rsidRDefault="00614574" w:rsidP="00306A8F">
      <w:pPr>
        <w:jc w:val="both"/>
        <w:rPr>
          <w:b/>
        </w:rPr>
      </w:pPr>
      <w:r w:rsidRPr="00347BE6">
        <w:rPr>
          <w:b/>
        </w:rPr>
        <w:t>NSS contribution</w:t>
      </w:r>
    </w:p>
    <w:p w14:paraId="78656AA3" w14:textId="6B51A485" w:rsidR="00347BE6" w:rsidRDefault="00732063" w:rsidP="00306A8F">
      <w:pPr>
        <w:jc w:val="both"/>
      </w:pPr>
      <w:r>
        <w:t>Based on the layout</w:t>
      </w:r>
      <w:r w:rsidR="0017738E">
        <w:t>s</w:t>
      </w:r>
      <w:r>
        <w:t xml:space="preserve"> shown in [7]</w:t>
      </w:r>
      <w:r w:rsidR="0017738E">
        <w:t xml:space="preserve"> and [8]</w:t>
      </w:r>
      <w:r>
        <w:t xml:space="preserve"> it can be concluded, that </w:t>
      </w:r>
      <w:r w:rsidR="00CE0054">
        <w:t>in case of the offices in the campus area the NMX beamline is the main contributor from the NSS side and that the other instruments are shielded by this beamline, and can therefore be neglected.</w:t>
      </w:r>
      <w:r w:rsidR="00245213">
        <w:t xml:space="preserve"> Furthermore, it can be assumed that the contribution from NMX can be subdivide into the contribution from the cave and the contribution from the beamline in the guide hall.</w:t>
      </w:r>
    </w:p>
    <w:p w14:paraId="77BBF4A7" w14:textId="2B21234E" w:rsidR="00245213" w:rsidRPr="008C1CF5" w:rsidRDefault="00245213" w:rsidP="00306A8F">
      <w:pPr>
        <w:jc w:val="both"/>
        <w:rPr>
          <w:b/>
        </w:rPr>
      </w:pPr>
      <w:r w:rsidRPr="008C1CF5">
        <w:rPr>
          <w:b/>
        </w:rPr>
        <w:t>NMX cave</w:t>
      </w:r>
    </w:p>
    <w:p w14:paraId="7845DC4B" w14:textId="7144173D" w:rsidR="00245213" w:rsidRDefault="00245213" w:rsidP="00306A8F">
      <w:pPr>
        <w:jc w:val="both"/>
      </w:pPr>
      <w:r>
        <w:t xml:space="preserve">As shown in chapter 11.1, the contribution from the cave can be approximated as a spherical source. If one considers further, as mentioned above, that NMX will be the only instrument contributing, the contribution </w:t>
      </w:r>
      <w:r w:rsidR="00C04031">
        <w:t>D</w:t>
      </w:r>
      <w:r w:rsidR="00C04031" w:rsidRPr="00C04031">
        <w:rPr>
          <w:vertAlign w:val="subscript"/>
        </w:rPr>
        <w:t xml:space="preserve">NMX Cave </w:t>
      </w:r>
      <w:r>
        <w:t>can be expressed as:</w:t>
      </w:r>
    </w:p>
    <w:p w14:paraId="048EEBCD" w14:textId="7603E144" w:rsidR="00245213" w:rsidRDefault="00EA6979" w:rsidP="00306A8F">
      <w:pPr>
        <w:jc w:val="both"/>
      </w:pPr>
      <m:oMathPara>
        <m:oMath>
          <m:sSub>
            <m:sSubPr>
              <m:ctrlPr>
                <w:rPr>
                  <w:rFonts w:ascii="Cambria Math" w:hAnsi="Cambria Math"/>
                  <w:i/>
                </w:rPr>
              </m:ctrlPr>
            </m:sSubPr>
            <m:e>
              <m:r>
                <w:rPr>
                  <w:rFonts w:ascii="Cambria Math" w:hAnsi="Cambria Math"/>
                </w:rPr>
                <m:t>D</m:t>
              </m:r>
            </m:e>
            <m:sub>
              <m:r>
                <w:rPr>
                  <w:rFonts w:ascii="Cambria Math" w:hAnsi="Cambria Math"/>
                </w:rPr>
                <m:t>NMX Cave</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Cave</m:t>
                          </m:r>
                        </m:sub>
                      </m:sSub>
                    </m:num>
                    <m:den>
                      <m:sSub>
                        <m:sSubPr>
                          <m:ctrlPr>
                            <w:rPr>
                              <w:rFonts w:ascii="Cambria Math" w:hAnsi="Cambria Math"/>
                              <w:i/>
                            </w:rPr>
                          </m:ctrlPr>
                        </m:sSubPr>
                        <m:e>
                          <m:r>
                            <w:rPr>
                              <w:rFonts w:ascii="Cambria Math" w:hAnsi="Cambria Math"/>
                            </w:rPr>
                            <m:t>R</m:t>
                          </m:r>
                        </m:e>
                        <m:sub>
                          <m:r>
                            <w:rPr>
                              <w:rFonts w:ascii="Cambria Math" w:hAnsi="Cambria Math"/>
                            </w:rPr>
                            <m:t>cc</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Cave</m:t>
                          </m:r>
                        </m:sub>
                      </m:sSub>
                    </m:den>
                  </m:f>
                </m:e>
              </m:d>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γ</m:t>
                  </m:r>
                </m:sub>
              </m:sSub>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air</m:t>
                      </m:r>
                    </m:sub>
                  </m:sSub>
                  <m:sSub>
                    <m:sSubPr>
                      <m:ctrlPr>
                        <w:rPr>
                          <w:rFonts w:ascii="Cambria Math" w:hAnsi="Cambria Math"/>
                          <w:i/>
                        </w:rPr>
                      </m:ctrlPr>
                    </m:sSubPr>
                    <m:e>
                      <m:r>
                        <w:rPr>
                          <w:rFonts w:ascii="Cambria Math" w:hAnsi="Cambria Math"/>
                        </w:rPr>
                        <m:t>R</m:t>
                      </m:r>
                    </m:e>
                    <m:sub>
                      <m:r>
                        <w:rPr>
                          <w:rFonts w:ascii="Cambria Math" w:hAnsi="Cambria Math"/>
                        </w:rPr>
                        <m:t>cc</m:t>
                      </m:r>
                    </m:sub>
                  </m:sSub>
                </m:sup>
              </m:sSup>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wall</m:t>
                      </m:r>
                    </m:sub>
                  </m:sSub>
                  <m:sSub>
                    <m:sSubPr>
                      <m:ctrlPr>
                        <w:rPr>
                          <w:rFonts w:ascii="Cambria Math" w:hAnsi="Cambria Math"/>
                          <w:i/>
                        </w:rPr>
                      </m:ctrlPr>
                    </m:sSubPr>
                    <m:e>
                      <m:r>
                        <w:rPr>
                          <w:rFonts w:ascii="Cambria Math" w:hAnsi="Cambria Math"/>
                        </w:rPr>
                        <m:t>D</m:t>
                      </m:r>
                    </m:e>
                    <m:sub>
                      <m:r>
                        <w:rPr>
                          <w:rFonts w:ascii="Cambria Math" w:hAnsi="Cambria Math"/>
                        </w:rPr>
                        <m:t>wallc</m:t>
                      </m:r>
                    </m:sub>
                  </m:sSub>
                </m:sup>
              </m:sSup>
            </m:e>
          </m:d>
        </m:oMath>
      </m:oMathPara>
    </w:p>
    <w:p w14:paraId="5AAB05A2" w14:textId="697C51ED" w:rsidR="00245213" w:rsidRDefault="00E37B79" w:rsidP="00306A8F">
      <w:pPr>
        <w:jc w:val="both"/>
      </w:pPr>
      <w:r>
        <w:t>, with R</w:t>
      </w:r>
      <w:r w:rsidRPr="00E37B79">
        <w:rPr>
          <w:vertAlign w:val="subscript"/>
        </w:rPr>
        <w:t>cc</w:t>
      </w:r>
      <w:r>
        <w:t>=50</w:t>
      </w:r>
      <w:r w:rsidR="00C04031">
        <w:t>m</w:t>
      </w:r>
      <w:r>
        <w:t xml:space="preserve"> being the </w:t>
      </w:r>
      <w:r w:rsidR="00C04031">
        <w:t>distance</w:t>
      </w:r>
      <w:r>
        <w:t xml:space="preserve"> from the instrument cave to the nearest office in the campus area, and D</w:t>
      </w:r>
      <w:r w:rsidRPr="00E37B79">
        <w:rPr>
          <w:vertAlign w:val="subscript"/>
        </w:rPr>
        <w:t>wallc</w:t>
      </w:r>
      <w:r>
        <w:t xml:space="preserve"> = 2 cm, accounting for 2 walls with 5mm of sheet metal on the </w:t>
      </w:r>
      <w:r w:rsidR="00357D0D">
        <w:t>outside</w:t>
      </w:r>
      <w:r>
        <w:t>.</w:t>
      </w:r>
      <w:r w:rsidR="00A42B05">
        <w:t xml:space="preserve"> The leads to D</w:t>
      </w:r>
      <w:r w:rsidR="00C04031" w:rsidRPr="00C04031">
        <w:rPr>
          <w:vertAlign w:val="subscript"/>
        </w:rPr>
        <w:t>NMX Cave</w:t>
      </w:r>
      <w:r w:rsidR="00A42B05">
        <w:t>=12</w:t>
      </w:r>
      <w:r w:rsidR="00C04031">
        <w:t xml:space="preserve">,6 nSv/h, which is about 25 </w:t>
      </w:r>
      <w:r w:rsidR="00C04031" w:rsidRPr="00C04031">
        <w:rPr>
          <w:rFonts w:ascii="Symbol" w:hAnsi="Symbol"/>
        </w:rPr>
        <w:t></w:t>
      </w:r>
      <w:r w:rsidR="00C04031">
        <w:t>Sv/year.</w:t>
      </w:r>
    </w:p>
    <w:p w14:paraId="48C905D8" w14:textId="7975F7B7" w:rsidR="008C1CF5" w:rsidRDefault="008C1CF5" w:rsidP="00306A8F">
      <w:pPr>
        <w:jc w:val="both"/>
      </w:pPr>
      <w:r>
        <w:t>NMX beamline in the guide hall</w:t>
      </w:r>
    </w:p>
    <w:p w14:paraId="62F20350" w14:textId="1EDAFCF3" w:rsidR="008C1CF5" w:rsidRDefault="008C1CF5" w:rsidP="00306A8F">
      <w:pPr>
        <w:jc w:val="both"/>
      </w:pPr>
      <w:r>
        <w:t xml:space="preserve">The NMX beamline part in the guide hall can be seen as a line source. In case of a uniform line source the radiation dose levels drop proportionally to the inverse of the distance from the source. In addition, due to the fact that </w:t>
      </w:r>
      <w:r w:rsidR="00DC593C">
        <w:t>NMX has already curved out of line of site by the end of the bunker, it can be assumed that the dose contribution predominately come from (n,</w:t>
      </w:r>
      <w:r w:rsidR="00DC593C" w:rsidRPr="00DC593C">
        <w:rPr>
          <w:rFonts w:ascii="Symbol" w:hAnsi="Symbol"/>
        </w:rPr>
        <w:t></w:t>
      </w:r>
      <w:r w:rsidR="00DC593C">
        <w:t>) reactions due to losses of thermal neutrons in the instrument optics.</w:t>
      </w:r>
      <w:r w:rsidR="00623D42">
        <w:t xml:space="preserve"> Based on these assumptions the contribution </w:t>
      </w:r>
      <w:r w:rsidR="001F7F5B">
        <w:t>D</w:t>
      </w:r>
      <w:r w:rsidR="001F7F5B" w:rsidRPr="001F7F5B">
        <w:rPr>
          <w:vertAlign w:val="subscript"/>
        </w:rPr>
        <w:t xml:space="preserve">NMX GH </w:t>
      </w:r>
      <w:r w:rsidR="001F7F5B">
        <w:t>from the beamline in the guide hall can be expressed as:</w:t>
      </w:r>
    </w:p>
    <w:p w14:paraId="45C23E84" w14:textId="359B05F9" w:rsidR="001F7F5B" w:rsidRDefault="00EA6979" w:rsidP="00306A8F">
      <w:pPr>
        <w:jc w:val="both"/>
      </w:pPr>
      <m:oMathPara>
        <m:oMath>
          <m:sSub>
            <m:sSubPr>
              <m:ctrlPr>
                <w:rPr>
                  <w:rFonts w:ascii="Cambria Math" w:hAnsi="Cambria Math"/>
                  <w:i/>
                </w:rPr>
              </m:ctrlPr>
            </m:sSubPr>
            <m:e>
              <m:r>
                <w:rPr>
                  <w:rFonts w:ascii="Cambria Math" w:hAnsi="Cambria Math"/>
                </w:rPr>
                <m:t>D</m:t>
              </m:r>
            </m:e>
            <m:sub>
              <m:r>
                <w:rPr>
                  <w:rFonts w:ascii="Cambria Math" w:hAnsi="Cambria Math"/>
                </w:rPr>
                <m:t>NMX GH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GH</m:t>
                  </m:r>
                </m:sub>
              </m:sSub>
            </m:num>
            <m:den>
              <m:sSub>
                <m:sSubPr>
                  <m:ctrlPr>
                    <w:rPr>
                      <w:rFonts w:ascii="Cambria Math" w:hAnsi="Cambria Math"/>
                      <w:i/>
                    </w:rPr>
                  </m:ctrlPr>
                </m:sSubPr>
                <m:e>
                  <m:r>
                    <w:rPr>
                      <w:rFonts w:ascii="Cambria Math" w:hAnsi="Cambria Math"/>
                    </w:rPr>
                    <m:t>R</m:t>
                  </m:r>
                </m:e>
                <m:sub>
                  <m:r>
                    <w:rPr>
                      <w:rFonts w:ascii="Cambria Math" w:hAnsi="Cambria Math"/>
                    </w:rPr>
                    <m:t>gc</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GH</m:t>
                  </m:r>
                </m:sub>
              </m:sSub>
            </m:den>
          </m:f>
          <m:sSub>
            <m:sSubPr>
              <m:ctrlPr>
                <w:rPr>
                  <w:rFonts w:ascii="Cambria Math" w:hAnsi="Cambria Math"/>
                  <w:i/>
                </w:rPr>
              </m:ctrlPr>
            </m:sSubPr>
            <m:e>
              <m:r>
                <w:rPr>
                  <w:rFonts w:ascii="Cambria Math" w:hAnsi="Cambria Math"/>
                </w:rPr>
                <m:t>D</m:t>
              </m:r>
            </m:e>
            <m:sub>
              <m:r>
                <w:rPr>
                  <w:rFonts w:ascii="Cambria Math" w:hAnsi="Cambria Math"/>
                </w:rPr>
                <m:t>γGH</m:t>
              </m:r>
            </m:sub>
          </m:sSub>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air</m:t>
                  </m:r>
                </m:sub>
              </m:sSub>
              <m:sSub>
                <m:sSubPr>
                  <m:ctrlPr>
                    <w:rPr>
                      <w:rFonts w:ascii="Cambria Math" w:hAnsi="Cambria Math"/>
                      <w:i/>
                    </w:rPr>
                  </m:ctrlPr>
                </m:sSubPr>
                <m:e>
                  <m:r>
                    <w:rPr>
                      <w:rFonts w:ascii="Cambria Math" w:hAnsi="Cambria Math"/>
                    </w:rPr>
                    <m:t>R</m:t>
                  </m:r>
                </m:e>
                <m:sub>
                  <m:r>
                    <w:rPr>
                      <w:rFonts w:ascii="Cambria Math" w:hAnsi="Cambria Math"/>
                    </w:rPr>
                    <m:t>gc</m:t>
                  </m:r>
                </m:sub>
              </m:sSub>
            </m:sup>
          </m:sSup>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wall</m:t>
                  </m:r>
                </m:sub>
              </m:sSub>
              <m:sSub>
                <m:sSubPr>
                  <m:ctrlPr>
                    <w:rPr>
                      <w:rFonts w:ascii="Cambria Math" w:hAnsi="Cambria Math"/>
                      <w:i/>
                    </w:rPr>
                  </m:ctrlPr>
                </m:sSubPr>
                <m:e>
                  <m:r>
                    <w:rPr>
                      <w:rFonts w:ascii="Cambria Math" w:hAnsi="Cambria Math"/>
                    </w:rPr>
                    <m:t>D</m:t>
                  </m:r>
                </m:e>
                <m:sub>
                  <m:r>
                    <w:rPr>
                      <w:rFonts w:ascii="Cambria Math" w:hAnsi="Cambria Math"/>
                    </w:rPr>
                    <m:t>wallc</m:t>
                  </m:r>
                </m:sub>
              </m:sSub>
            </m:sup>
          </m:sSup>
        </m:oMath>
      </m:oMathPara>
    </w:p>
    <w:p w14:paraId="271273F3" w14:textId="69892FD4" w:rsidR="001F7F5B" w:rsidRDefault="001F7F5B" w:rsidP="00306A8F">
      <w:pPr>
        <w:jc w:val="both"/>
      </w:pPr>
      <w:r>
        <w:t>, with R</w:t>
      </w:r>
      <w:r w:rsidR="009F2C0F" w:rsidRPr="009F2C0F">
        <w:rPr>
          <w:vertAlign w:val="subscript"/>
        </w:rPr>
        <w:t>gc</w:t>
      </w:r>
      <w:r>
        <w:t>=50m being the shortest distance from the guide hall to the closest offices in the campus area. Furtherm</w:t>
      </w:r>
      <w:r w:rsidR="007E6D01">
        <w:t>ore R</w:t>
      </w:r>
      <w:r w:rsidR="007E6D01" w:rsidRPr="007E6D01">
        <w:rPr>
          <w:vertAlign w:val="subscript"/>
        </w:rPr>
        <w:t>GH</w:t>
      </w:r>
      <w:r>
        <w:t>=0.6m is the distance of the outer shielding surface to the centre of the guide system</w:t>
      </w:r>
      <w:r w:rsidR="0046105F">
        <w:t xml:space="preserve"> and D</w:t>
      </w:r>
      <w:r w:rsidR="0046105F" w:rsidRPr="00885F2F">
        <w:rPr>
          <w:rFonts w:ascii="Symbol" w:hAnsi="Symbol"/>
          <w:vertAlign w:val="subscript"/>
        </w:rPr>
        <w:t></w:t>
      </w:r>
      <w:r w:rsidR="0046105F" w:rsidRPr="00885F2F">
        <w:rPr>
          <w:vertAlign w:val="subscript"/>
        </w:rPr>
        <w:t>GH</w:t>
      </w:r>
      <w:r w:rsidR="0046105F">
        <w:t xml:space="preserve">=1.5 </w:t>
      </w:r>
      <w:r w:rsidR="0046105F" w:rsidRPr="0046105F">
        <w:rPr>
          <w:rFonts w:ascii="Symbol" w:hAnsi="Symbol"/>
        </w:rPr>
        <w:t></w:t>
      </w:r>
      <w:r w:rsidR="0046105F">
        <w:t>Sv/h.</w:t>
      </w:r>
      <w:r w:rsidR="00AA21DF">
        <w:t xml:space="preserve"> This yields to D</w:t>
      </w:r>
      <w:r w:rsidR="00AA21DF" w:rsidRPr="001F7F5B">
        <w:rPr>
          <w:vertAlign w:val="subscript"/>
        </w:rPr>
        <w:t>NMX GH</w:t>
      </w:r>
      <w:r w:rsidR="00AA21DF">
        <w:t xml:space="preserve">=5.6 nSv/h which is about 11 </w:t>
      </w:r>
      <w:r w:rsidR="00AA21DF" w:rsidRPr="00AA21DF">
        <w:rPr>
          <w:rFonts w:ascii="Symbol" w:hAnsi="Symbol"/>
        </w:rPr>
        <w:t></w:t>
      </w:r>
      <w:r w:rsidR="00AA21DF">
        <w:t>Sv/year.</w:t>
      </w:r>
    </w:p>
    <w:p w14:paraId="63987FDD" w14:textId="6C6E33FF" w:rsidR="00B26C7E" w:rsidRPr="00595610" w:rsidRDefault="00B26C7E" w:rsidP="00306A8F">
      <w:pPr>
        <w:jc w:val="both"/>
        <w:rPr>
          <w:b/>
        </w:rPr>
      </w:pPr>
      <w:r w:rsidRPr="00595610">
        <w:rPr>
          <w:b/>
        </w:rPr>
        <w:lastRenderedPageBreak/>
        <w:t>NSS skyshine</w:t>
      </w:r>
    </w:p>
    <w:p w14:paraId="3A946A4E" w14:textId="39E6E4E0" w:rsidR="00355B88" w:rsidRDefault="002D5310" w:rsidP="00306A8F">
      <w:pPr>
        <w:jc w:val="both"/>
      </w:pPr>
      <w:r>
        <w:t xml:space="preserve">In accordance with </w:t>
      </w:r>
      <w:r w:rsidR="002C0912">
        <w:t>[9]</w:t>
      </w:r>
      <w:r w:rsidR="00C75D32">
        <w:t xml:space="preserve"> figure 5 </w:t>
      </w:r>
      <w:r w:rsidR="002C0912">
        <w:t xml:space="preserve">the total NSS skyshine contribution in the offices in the campus area was estimated to be about </w:t>
      </w:r>
      <w:r w:rsidR="00C75D32">
        <w:t xml:space="preserve">20 </w:t>
      </w:r>
      <w:r w:rsidR="00C75D32" w:rsidRPr="00C75D32">
        <w:rPr>
          <w:rFonts w:ascii="Symbol" w:hAnsi="Symbol"/>
        </w:rPr>
        <w:t></w:t>
      </w:r>
      <w:r w:rsidR="00C75D32">
        <w:t xml:space="preserve">Sv/year. This result assumed a high energy neutron leakage rate on top of the bunker of 1 </w:t>
      </w:r>
      <w:r w:rsidR="00C75D32" w:rsidRPr="00C75D32">
        <w:rPr>
          <w:rFonts w:ascii="Symbol" w:hAnsi="Symbol"/>
        </w:rPr>
        <w:t></w:t>
      </w:r>
      <w:r w:rsidR="00C75D32">
        <w:t xml:space="preserve">Sv/h, and 5400 hours of operation. However, the maximum occupancy of the offices in the campus area is 2000 hours per year. Adjusting for the hours spend, this leads to a contribution of about 7.5 </w:t>
      </w:r>
      <w:r w:rsidR="00C75D32" w:rsidRPr="00C75D32">
        <w:rPr>
          <w:rFonts w:ascii="Symbol" w:hAnsi="Symbol"/>
        </w:rPr>
        <w:t></w:t>
      </w:r>
      <w:r w:rsidR="00C75D32">
        <w:t xml:space="preserve">Sv/year, which have of it coming from the instruments and half coming from the bunker roof. If the bunker roof were to reclassified and the allowed leakage rate increased by a factor of 10, this would increase the NSS skyshine contribution to about 41 </w:t>
      </w:r>
      <w:r w:rsidR="00C75D32" w:rsidRPr="00C75D32">
        <w:rPr>
          <w:rFonts w:ascii="Symbol" w:hAnsi="Symbol"/>
        </w:rPr>
        <w:t></w:t>
      </w:r>
      <w:r w:rsidR="00C75D32">
        <w:t>Sv/year.</w:t>
      </w:r>
    </w:p>
    <w:p w14:paraId="1211C68F" w14:textId="0FD3A28D" w:rsidR="002B3846" w:rsidRPr="00E00AAA" w:rsidRDefault="002B3846" w:rsidP="00306A8F">
      <w:pPr>
        <w:jc w:val="both"/>
        <w:rPr>
          <w:b/>
        </w:rPr>
      </w:pPr>
      <w:r w:rsidRPr="00E00AAA">
        <w:rPr>
          <w:b/>
        </w:rPr>
        <w:t>NSS total</w:t>
      </w:r>
    </w:p>
    <w:p w14:paraId="4EFB0AA1" w14:textId="61DD4B81" w:rsidR="002B3846" w:rsidRDefault="002B3846" w:rsidP="00306A8F">
      <w:pPr>
        <w:jc w:val="both"/>
      </w:pPr>
      <w:r>
        <w:t>As mentioned above, even though the closest offices in the campus area from the NMX cave and the guide hall are not necessarily the same, it is conservatively assumed that they are. Therefore</w:t>
      </w:r>
      <w:r w:rsidR="00E00AAA">
        <w:t>,</w:t>
      </w:r>
      <w:r>
        <w:t xml:space="preserve"> the total contribution from NSS to these offices results to about </w:t>
      </w:r>
      <w:r w:rsidR="00C75D32">
        <w:t>44</w:t>
      </w:r>
      <w:r>
        <w:t xml:space="preserve"> </w:t>
      </w:r>
      <w:r w:rsidRPr="002B3846">
        <w:rPr>
          <w:rFonts w:ascii="Symbol" w:hAnsi="Symbol"/>
        </w:rPr>
        <w:t></w:t>
      </w:r>
      <w:r>
        <w:t>Sv/year</w:t>
      </w:r>
      <w:r w:rsidR="00C75D32">
        <w:t xml:space="preserve">, assuming the bunker roof is classified as </w:t>
      </w:r>
      <w:r w:rsidR="00EB0ADC">
        <w:t>supervised area [4]</w:t>
      </w:r>
      <w:r>
        <w:t>.</w:t>
      </w:r>
      <w:r w:rsidR="00EB0ADC">
        <w:t xml:space="preserve"> This contribution will increase to about 77 </w:t>
      </w:r>
      <w:r w:rsidR="00EB0ADC" w:rsidRPr="00A24C8F">
        <w:rPr>
          <w:rFonts w:ascii="Symbol" w:hAnsi="Symbol"/>
        </w:rPr>
        <w:t></w:t>
      </w:r>
      <w:r w:rsidR="00EB0ADC">
        <w:t>Sv/year, if the top of the bunker roof will be classified as unrestricted controlled area.</w:t>
      </w:r>
    </w:p>
    <w:p w14:paraId="4B315A12" w14:textId="1161F846" w:rsidR="00E00AAA" w:rsidRPr="00E00AAA" w:rsidRDefault="00E00AAA" w:rsidP="00306A8F">
      <w:pPr>
        <w:jc w:val="both"/>
        <w:rPr>
          <w:b/>
        </w:rPr>
      </w:pPr>
      <w:r w:rsidRPr="00E00AAA">
        <w:rPr>
          <w:b/>
        </w:rPr>
        <w:t>ESS total</w:t>
      </w:r>
    </w:p>
    <w:p w14:paraId="08A73326" w14:textId="5A1C2FC4" w:rsidR="00E00AAA" w:rsidRDefault="00E00AAA" w:rsidP="00306A8F">
      <w:pPr>
        <w:jc w:val="both"/>
      </w:pPr>
      <w:r>
        <w:t xml:space="preserve">Adding the contribution from accelerator, target and NSS, the predicted dose in the closest office in the campus area results to </w:t>
      </w:r>
      <w:r w:rsidR="00595610">
        <w:t xml:space="preserve">about 53 </w:t>
      </w:r>
      <w:r w:rsidR="00595610" w:rsidRPr="00595610">
        <w:rPr>
          <w:rFonts w:ascii="Symbol" w:hAnsi="Symbol"/>
        </w:rPr>
        <w:t></w:t>
      </w:r>
      <w:r w:rsidR="00595610">
        <w:t xml:space="preserve">Sv/year in case the roof of the bunker is classified as supervised area and 86 </w:t>
      </w:r>
      <w:r w:rsidR="00595610" w:rsidRPr="00595610">
        <w:rPr>
          <w:rFonts w:ascii="Symbol" w:hAnsi="Symbol"/>
        </w:rPr>
        <w:t></w:t>
      </w:r>
      <w:r w:rsidR="00595610">
        <w:t>Sv/year if the top of the bunker roof is classified as unrestricted controlled.</w:t>
      </w:r>
    </w:p>
    <w:p w14:paraId="7D1E2023" w14:textId="405239E1" w:rsidR="00371E06" w:rsidRPr="00AA21DF" w:rsidRDefault="00371E06" w:rsidP="00306A8F">
      <w:pPr>
        <w:jc w:val="both"/>
      </w:pPr>
      <w:r>
        <w:t xml:space="preserve">If a safety factor of 2 is applied to the estimates that expected dose in the campus offices is about 106 </w:t>
      </w:r>
      <w:r w:rsidRPr="00601A6B">
        <w:rPr>
          <w:rFonts w:ascii="Symbol" w:hAnsi="Symbol"/>
        </w:rPr>
        <w:t></w:t>
      </w:r>
      <w:r>
        <w:t xml:space="preserve">Sv/year with the current baseline, and about 172 </w:t>
      </w:r>
      <w:r w:rsidRPr="00601A6B">
        <w:rPr>
          <w:rFonts w:ascii="Symbol" w:hAnsi="Symbol"/>
        </w:rPr>
        <w:t></w:t>
      </w:r>
      <w:r>
        <w:t>Sv/year with the bunker roof being reclassified as unrestricted controlled area.</w:t>
      </w:r>
    </w:p>
    <w:p w14:paraId="01DF228D" w14:textId="77777777" w:rsidR="006B7CEA" w:rsidRDefault="006B7CEA" w:rsidP="006B7CEA">
      <w:pPr>
        <w:pStyle w:val="Heading1"/>
      </w:pPr>
      <w:bookmarkStart w:id="17" w:name="_Toc293146214"/>
      <w:bookmarkStart w:id="18" w:name="_Toc492384576"/>
      <w:r>
        <w:t>CONCLUSIONS AND RECOMMENDATIONS</w:t>
      </w:r>
      <w:bookmarkEnd w:id="17"/>
      <w:bookmarkEnd w:id="18"/>
    </w:p>
    <w:p w14:paraId="683D3C8F" w14:textId="09D32F26" w:rsidR="006B7CEA" w:rsidRDefault="00C421C3" w:rsidP="00243286">
      <w:pPr>
        <w:jc w:val="both"/>
      </w:pPr>
      <w:r>
        <w:t xml:space="preserve">Including a safety factor of 2 the dose in the offices in E03 and E04 was estimated </w:t>
      </w:r>
      <w:r w:rsidR="002963A2">
        <w:t>as to be 2</w:t>
      </w:r>
      <w:r w:rsidR="00243286">
        <w:t>80</w:t>
      </w:r>
      <w:r w:rsidR="002963A2">
        <w:t xml:space="preserve"> </w:t>
      </w:r>
      <w:r w:rsidR="002963A2" w:rsidRPr="002963A2">
        <w:rPr>
          <w:rFonts w:ascii="Symbol" w:hAnsi="Symbol"/>
        </w:rPr>
        <w:t></w:t>
      </w:r>
      <w:r w:rsidR="002963A2">
        <w:t>Sv/year</w:t>
      </w:r>
      <w:r w:rsidR="00243286">
        <w:t xml:space="preserve"> or 348 </w:t>
      </w:r>
      <w:r w:rsidR="00243286" w:rsidRPr="003955A3">
        <w:rPr>
          <w:rFonts w:ascii="Symbol" w:hAnsi="Symbol"/>
        </w:rPr>
        <w:t></w:t>
      </w:r>
      <w:r w:rsidR="00243286">
        <w:t>Sv/year respectively depending the zoning classification of the top of the roof</w:t>
      </w:r>
      <w:r w:rsidR="002963A2">
        <w:t>. Assuming a 10% occupancy factor in these offices, the additional dose per worker per year is estimated to be about 2</w:t>
      </w:r>
      <w:r w:rsidR="00243286">
        <w:t>8</w:t>
      </w:r>
      <w:r w:rsidR="002963A2">
        <w:t xml:space="preserve"> </w:t>
      </w:r>
      <w:r w:rsidR="002963A2" w:rsidRPr="002963A2">
        <w:rPr>
          <w:rFonts w:ascii="Symbol" w:hAnsi="Symbol"/>
        </w:rPr>
        <w:t></w:t>
      </w:r>
      <w:r w:rsidR="002963A2">
        <w:t>Sv</w:t>
      </w:r>
      <w:r w:rsidR="00243286">
        <w:t xml:space="preserve"> or 35 </w:t>
      </w:r>
      <w:r w:rsidR="00243286" w:rsidRPr="003955A3">
        <w:rPr>
          <w:rFonts w:ascii="Symbol" w:hAnsi="Symbol"/>
        </w:rPr>
        <w:t></w:t>
      </w:r>
      <w:r w:rsidR="00243286">
        <w:t>Sv depending on the classi</w:t>
      </w:r>
      <w:r w:rsidR="00601A6B">
        <w:t>fication of the top of the roof</w:t>
      </w:r>
      <w:r w:rsidR="002963A2">
        <w:t>.</w:t>
      </w:r>
    </w:p>
    <w:p w14:paraId="01A1D6D5" w14:textId="39700EA1" w:rsidR="002963A2" w:rsidRPr="002963A2" w:rsidRDefault="002963A2" w:rsidP="00243286">
      <w:pPr>
        <w:jc w:val="both"/>
      </w:pPr>
      <w:r>
        <w:t xml:space="preserve">Considering the same safety factor of 2, the dose in the offices in the campus area was estimated to be 106 </w:t>
      </w:r>
      <w:r w:rsidRPr="002963A2">
        <w:rPr>
          <w:rFonts w:ascii="Symbol" w:hAnsi="Symbol"/>
        </w:rPr>
        <w:t></w:t>
      </w:r>
      <w:r>
        <w:t xml:space="preserve">Sv/year if the top of the roof is classified as supervised area. If the top of the roof is reclassified to an unrestricted controlled area, the estimated dose will increase to 172 </w:t>
      </w:r>
      <w:r w:rsidRPr="002963A2">
        <w:rPr>
          <w:rFonts w:ascii="Symbol" w:hAnsi="Symbol"/>
        </w:rPr>
        <w:t></w:t>
      </w:r>
      <w:r>
        <w:t>Sv/year.</w:t>
      </w:r>
    </w:p>
    <w:p w14:paraId="64D1AD39" w14:textId="77777777" w:rsidR="00C11E3A" w:rsidRDefault="006C57A2" w:rsidP="004F4C8F">
      <w:pPr>
        <w:pStyle w:val="Heading1"/>
      </w:pPr>
      <w:bookmarkStart w:id="19" w:name="_Toc492384577"/>
      <w:r>
        <w:lastRenderedPageBreak/>
        <w:t>Glossary</w:t>
      </w:r>
      <w:bookmarkEnd w:id="19"/>
    </w:p>
    <w:tbl>
      <w:tblPr>
        <w:tblW w:w="5000" w:type="pct"/>
        <w:tblLook w:val="0000" w:firstRow="0" w:lastRow="0" w:firstColumn="0" w:lastColumn="0" w:noHBand="0" w:noVBand="0"/>
      </w:tblPr>
      <w:tblGrid>
        <w:gridCol w:w="1809"/>
        <w:gridCol w:w="7173"/>
      </w:tblGrid>
      <w:tr w:rsidR="006C57A2" w:rsidRPr="004F4C8F" w14:paraId="601D0F93" w14:textId="77777777" w:rsidTr="006C57A2">
        <w:trPr>
          <w:cantSplit/>
          <w:tblHeader/>
        </w:trPr>
        <w:tc>
          <w:tcPr>
            <w:tcW w:w="1007" w:type="pct"/>
            <w:tcBorders>
              <w:top w:val="single" w:sz="12" w:space="0" w:color="auto"/>
              <w:bottom w:val="single" w:sz="6" w:space="0" w:color="auto"/>
            </w:tcBorders>
            <w:shd w:val="clear" w:color="auto" w:fill="auto"/>
          </w:tcPr>
          <w:p w14:paraId="5AEF3DB2" w14:textId="77777777" w:rsidR="006C57A2" w:rsidRPr="004F4C8F" w:rsidRDefault="006C57A2" w:rsidP="004F4C8F">
            <w:pPr>
              <w:pStyle w:val="ESS-TableTitle"/>
            </w:pPr>
            <w:r>
              <w:t>Term</w:t>
            </w:r>
          </w:p>
        </w:tc>
        <w:tc>
          <w:tcPr>
            <w:tcW w:w="3993" w:type="pct"/>
            <w:tcBorders>
              <w:top w:val="single" w:sz="12" w:space="0" w:color="auto"/>
              <w:bottom w:val="single" w:sz="6" w:space="0" w:color="auto"/>
            </w:tcBorders>
            <w:shd w:val="clear" w:color="auto" w:fill="auto"/>
          </w:tcPr>
          <w:p w14:paraId="271EB546" w14:textId="77777777" w:rsidR="006C57A2" w:rsidRPr="004F4C8F" w:rsidRDefault="006C57A2" w:rsidP="004F4C8F">
            <w:pPr>
              <w:pStyle w:val="ESS-TableTitle"/>
            </w:pPr>
            <w:r w:rsidRPr="004F4C8F">
              <w:t>Definition</w:t>
            </w:r>
          </w:p>
        </w:tc>
      </w:tr>
      <w:tr w:rsidR="006C57A2" w:rsidRPr="004F4C8F" w14:paraId="2FFF456E" w14:textId="77777777" w:rsidTr="006C57A2">
        <w:trPr>
          <w:cantSplit/>
          <w:tblHeader/>
        </w:trPr>
        <w:tc>
          <w:tcPr>
            <w:tcW w:w="1007" w:type="pct"/>
            <w:tcBorders>
              <w:top w:val="single" w:sz="6" w:space="0" w:color="auto"/>
            </w:tcBorders>
            <w:shd w:val="clear" w:color="auto" w:fill="auto"/>
          </w:tcPr>
          <w:p w14:paraId="55EB6FBD" w14:textId="3F219F45" w:rsidR="006C57A2" w:rsidRPr="004F4C8F" w:rsidRDefault="0022446E" w:rsidP="0022446E">
            <w:pPr>
              <w:pStyle w:val="ESS-TableText"/>
            </w:pPr>
            <w:r>
              <w:t xml:space="preserve">&lt;&lt;Sample term&gt;&gt; </w:t>
            </w:r>
          </w:p>
        </w:tc>
        <w:tc>
          <w:tcPr>
            <w:tcW w:w="3993" w:type="pct"/>
            <w:tcBorders>
              <w:top w:val="single" w:sz="6" w:space="0" w:color="auto"/>
            </w:tcBorders>
            <w:shd w:val="clear" w:color="auto" w:fill="auto"/>
          </w:tcPr>
          <w:p w14:paraId="442A90BC" w14:textId="0F19EB82" w:rsidR="006C57A2" w:rsidRPr="004F4C8F" w:rsidRDefault="0022446E" w:rsidP="0022446E">
            <w:pPr>
              <w:pStyle w:val="ESS-TableText"/>
            </w:pPr>
            <w:r>
              <w:t>&lt;&lt;Sample explanation &gt;&gt;</w:t>
            </w:r>
          </w:p>
        </w:tc>
      </w:tr>
      <w:tr w:rsidR="006C57A2" w:rsidRPr="004F4C8F" w14:paraId="04D46538" w14:textId="77777777" w:rsidTr="006C57A2">
        <w:trPr>
          <w:cantSplit/>
        </w:trPr>
        <w:tc>
          <w:tcPr>
            <w:tcW w:w="1007" w:type="pct"/>
            <w:shd w:val="clear" w:color="auto" w:fill="auto"/>
          </w:tcPr>
          <w:p w14:paraId="6F174B39" w14:textId="77777777" w:rsidR="006C57A2" w:rsidRPr="004F4C8F" w:rsidRDefault="006C57A2" w:rsidP="00831DA9">
            <w:pPr>
              <w:pStyle w:val="ESS-TableText"/>
            </w:pPr>
          </w:p>
        </w:tc>
        <w:tc>
          <w:tcPr>
            <w:tcW w:w="3993" w:type="pct"/>
            <w:shd w:val="clear" w:color="auto" w:fill="auto"/>
          </w:tcPr>
          <w:p w14:paraId="6BADC7BC" w14:textId="77777777" w:rsidR="006C57A2" w:rsidRPr="004F4C8F" w:rsidRDefault="006C57A2" w:rsidP="00831DA9">
            <w:pPr>
              <w:pStyle w:val="ESS-TableText"/>
            </w:pPr>
          </w:p>
        </w:tc>
      </w:tr>
      <w:tr w:rsidR="006C57A2" w:rsidRPr="004F4C8F" w14:paraId="33B98984" w14:textId="77777777" w:rsidTr="006C57A2">
        <w:trPr>
          <w:cantSplit/>
        </w:trPr>
        <w:tc>
          <w:tcPr>
            <w:tcW w:w="1007" w:type="pct"/>
            <w:tcBorders>
              <w:bottom w:val="single" w:sz="12" w:space="0" w:color="auto"/>
            </w:tcBorders>
            <w:shd w:val="clear" w:color="auto" w:fill="auto"/>
          </w:tcPr>
          <w:p w14:paraId="633BDACD" w14:textId="77777777" w:rsidR="006C57A2" w:rsidRPr="004F4C8F" w:rsidRDefault="006C57A2" w:rsidP="00831DA9">
            <w:pPr>
              <w:pStyle w:val="ESS-TableText"/>
            </w:pPr>
          </w:p>
        </w:tc>
        <w:tc>
          <w:tcPr>
            <w:tcW w:w="3993" w:type="pct"/>
            <w:tcBorders>
              <w:bottom w:val="single" w:sz="12" w:space="0" w:color="auto"/>
            </w:tcBorders>
            <w:shd w:val="clear" w:color="auto" w:fill="auto"/>
          </w:tcPr>
          <w:p w14:paraId="0A45D2ED" w14:textId="77777777" w:rsidR="006C57A2" w:rsidRPr="004F4C8F" w:rsidRDefault="006C57A2" w:rsidP="00831DA9">
            <w:pPr>
              <w:pStyle w:val="ESS-TableText"/>
            </w:pPr>
          </w:p>
        </w:tc>
      </w:tr>
    </w:tbl>
    <w:p w14:paraId="6E35B9E8" w14:textId="77777777" w:rsidR="00590145" w:rsidRDefault="00590145" w:rsidP="00590145"/>
    <w:p w14:paraId="56DF329B" w14:textId="77777777" w:rsidR="00590145" w:rsidRDefault="00590145" w:rsidP="00590145">
      <w:pPr>
        <w:pStyle w:val="Heading1"/>
      </w:pPr>
      <w:bookmarkStart w:id="20" w:name="_Toc492384578"/>
      <w:r>
        <w:t>references</w:t>
      </w:r>
      <w:bookmarkEnd w:id="20"/>
    </w:p>
    <w:p w14:paraId="4BA54CFC" w14:textId="4477CC2C" w:rsidR="00590145" w:rsidRDefault="005663FE" w:rsidP="00590145">
      <w:pPr>
        <w:pStyle w:val="ListParagraph"/>
        <w:numPr>
          <w:ilvl w:val="0"/>
          <w:numId w:val="16"/>
        </w:numPr>
      </w:pPr>
      <w:r>
        <w:t>Lali Tchelidze</w:t>
      </w:r>
      <w:r w:rsidR="002A61F0">
        <w:t xml:space="preserve">, </w:t>
      </w:r>
      <w:r w:rsidR="002E5803">
        <w:t>“</w:t>
      </w:r>
      <w:r w:rsidR="002A61F0">
        <w:t>ESS accelerator skyshine dose rate maps during normal operations.</w:t>
      </w:r>
      <w:r w:rsidR="002E5803">
        <w:t>”</w:t>
      </w:r>
      <w:r w:rsidR="002A61F0">
        <w:t xml:space="preserve"> </w:t>
      </w:r>
      <w:r w:rsidR="0001772D">
        <w:t>ESS-0063681</w:t>
      </w:r>
    </w:p>
    <w:p w14:paraId="79137532" w14:textId="5DF22D44" w:rsidR="001F18C6" w:rsidRDefault="001F18C6" w:rsidP="00C11E3A">
      <w:pPr>
        <w:pStyle w:val="ListParagraph"/>
        <w:numPr>
          <w:ilvl w:val="0"/>
          <w:numId w:val="16"/>
        </w:numPr>
      </w:pPr>
      <w:r w:rsidRPr="0035159F">
        <w:rPr>
          <w:rFonts w:asciiTheme="minorHAnsi" w:hAnsiTheme="minorHAnsi"/>
        </w:rPr>
        <w:t xml:space="preserve">G. Muhrer, </w:t>
      </w:r>
      <w:r w:rsidR="002E5803">
        <w:rPr>
          <w:rFonts w:asciiTheme="minorHAnsi" w:hAnsiTheme="minorHAnsi"/>
        </w:rPr>
        <w:t>“</w:t>
      </w:r>
      <w:r w:rsidRPr="0035159F">
        <w:rPr>
          <w:rFonts w:asciiTheme="minorHAnsi" w:hAnsiTheme="minorHAnsi"/>
        </w:rPr>
        <w:t>Dose contribution from the connection cell to the adjacent rooms</w:t>
      </w:r>
      <w:r>
        <w:rPr>
          <w:rFonts w:asciiTheme="minorHAnsi" w:hAnsiTheme="minorHAnsi"/>
        </w:rPr>
        <w:t>.</w:t>
      </w:r>
      <w:r w:rsidR="002E5803">
        <w:rPr>
          <w:rFonts w:asciiTheme="minorHAnsi" w:hAnsiTheme="minorHAnsi"/>
        </w:rPr>
        <w:t>”</w:t>
      </w:r>
      <w:r>
        <w:t xml:space="preserve"> </w:t>
      </w:r>
      <w:r w:rsidR="00725044">
        <w:t>ESS-</w:t>
      </w:r>
      <w:r w:rsidR="001E2422">
        <w:t>0060683</w:t>
      </w:r>
    </w:p>
    <w:p w14:paraId="6FDD685D" w14:textId="376DDC2C" w:rsidR="004F4C8F" w:rsidRPr="00186717" w:rsidRDefault="001F18C6" w:rsidP="00C11E3A">
      <w:pPr>
        <w:pStyle w:val="ListParagraph"/>
        <w:numPr>
          <w:ilvl w:val="0"/>
          <w:numId w:val="16"/>
        </w:numPr>
      </w:pPr>
      <w:r w:rsidRPr="001F18C6">
        <w:rPr>
          <w:rFonts w:asciiTheme="minorHAnsi" w:hAnsiTheme="minorHAnsi"/>
        </w:rPr>
        <w:t xml:space="preserve">H. Sullivan, </w:t>
      </w:r>
      <w:r w:rsidR="002E5803">
        <w:rPr>
          <w:rFonts w:asciiTheme="minorHAnsi" w:hAnsiTheme="minorHAnsi"/>
        </w:rPr>
        <w:t>“</w:t>
      </w:r>
      <w:r w:rsidRPr="001F18C6">
        <w:rPr>
          <w:rFonts w:asciiTheme="minorHAnsi" w:hAnsiTheme="minorHAnsi"/>
        </w:rPr>
        <w:t>A Guide to Radiation and Radioactivity Levels Near High Energy Particle Accelerators</w:t>
      </w:r>
      <w:r w:rsidR="002E5803">
        <w:rPr>
          <w:rFonts w:asciiTheme="minorHAnsi" w:hAnsiTheme="minorHAnsi"/>
        </w:rPr>
        <w:t>”</w:t>
      </w:r>
      <w:r w:rsidRPr="001F18C6">
        <w:rPr>
          <w:rFonts w:asciiTheme="minorHAnsi" w:hAnsiTheme="minorHAnsi"/>
        </w:rPr>
        <w:t>, Nuclear Technology Publishing, 1992.</w:t>
      </w:r>
    </w:p>
    <w:p w14:paraId="28B759F0" w14:textId="23EE88A9" w:rsidR="00186717" w:rsidRPr="009811E9" w:rsidRDefault="002E5803" w:rsidP="00C11E3A">
      <w:pPr>
        <w:pStyle w:val="ListParagraph"/>
        <w:numPr>
          <w:ilvl w:val="0"/>
          <w:numId w:val="16"/>
        </w:numPr>
        <w:rPr>
          <w:szCs w:val="24"/>
          <w:lang w:val="en-US"/>
        </w:rPr>
      </w:pPr>
      <w:r w:rsidRPr="002E5803">
        <w:rPr>
          <w:szCs w:val="24"/>
          <w:lang w:val="en-US"/>
        </w:rPr>
        <w:t>Günter Muhrer</w:t>
      </w:r>
      <w:r w:rsidRPr="002E5803">
        <w:rPr>
          <w:rFonts w:asciiTheme="minorHAnsi" w:hAnsiTheme="minorHAnsi"/>
          <w:szCs w:val="24"/>
          <w:lang w:val="en-US"/>
        </w:rPr>
        <w:t xml:space="preserve"> and </w:t>
      </w:r>
      <w:r w:rsidRPr="002E5803">
        <w:rPr>
          <w:rFonts w:eastAsia="Cambria" w:cs="Tahoma"/>
          <w:bCs/>
          <w:szCs w:val="24"/>
          <w:lang w:val="en-US"/>
        </w:rPr>
        <w:t xml:space="preserve">François Javier, </w:t>
      </w:r>
      <w:r>
        <w:rPr>
          <w:rFonts w:eastAsia="Cambria" w:cs="Tahoma"/>
          <w:bCs/>
          <w:szCs w:val="24"/>
          <w:lang w:val="en-US"/>
        </w:rPr>
        <w:t>“</w:t>
      </w:r>
      <w:r w:rsidRPr="002E5803">
        <w:rPr>
          <w:rFonts w:eastAsia="Cambria" w:cs="Tahoma"/>
          <w:bCs/>
          <w:szCs w:val="24"/>
          <w:lang w:val="en-US"/>
        </w:rPr>
        <w:t xml:space="preserve">Definition of Supervised and Controlled Radiation </w:t>
      </w:r>
      <w:r w:rsidR="00C529E8" w:rsidRPr="002E5803">
        <w:rPr>
          <w:rFonts w:eastAsia="Cambria" w:cs="Tahoma"/>
          <w:bCs/>
          <w:szCs w:val="24"/>
          <w:lang w:val="en-US"/>
        </w:rPr>
        <w:t>Areas. “</w:t>
      </w:r>
      <w:r w:rsidRPr="002E5803">
        <w:rPr>
          <w:rFonts w:asciiTheme="minorHAnsi" w:hAnsiTheme="minorHAnsi"/>
          <w:szCs w:val="24"/>
          <w:lang w:val="en-US"/>
        </w:rPr>
        <w:t xml:space="preserve"> </w:t>
      </w:r>
      <w:r w:rsidR="00186717" w:rsidRPr="002E5803">
        <w:rPr>
          <w:rFonts w:asciiTheme="minorHAnsi" w:hAnsiTheme="minorHAnsi"/>
          <w:szCs w:val="24"/>
          <w:lang w:val="en-US"/>
        </w:rPr>
        <w:t>ESS-0001786</w:t>
      </w:r>
      <w:r w:rsidR="00C529E8">
        <w:rPr>
          <w:rFonts w:asciiTheme="minorHAnsi" w:hAnsiTheme="minorHAnsi"/>
          <w:szCs w:val="24"/>
          <w:lang w:val="en-US"/>
        </w:rPr>
        <w:t>.</w:t>
      </w:r>
    </w:p>
    <w:p w14:paraId="18C9006D" w14:textId="72221D60" w:rsidR="009811E9" w:rsidRPr="00C529E8" w:rsidRDefault="009811E9" w:rsidP="00C11E3A">
      <w:pPr>
        <w:pStyle w:val="ListParagraph"/>
        <w:numPr>
          <w:ilvl w:val="0"/>
          <w:numId w:val="16"/>
        </w:numPr>
        <w:rPr>
          <w:szCs w:val="24"/>
          <w:lang w:val="en-US"/>
        </w:rPr>
      </w:pPr>
      <w:r>
        <w:rPr>
          <w:rFonts w:asciiTheme="minorHAnsi" w:hAnsiTheme="minorHAnsi"/>
          <w:szCs w:val="24"/>
          <w:lang w:val="en-US"/>
        </w:rPr>
        <w:t>Radialogical zoning of the D and E Buildings, ESS-0057612.</w:t>
      </w:r>
    </w:p>
    <w:p w14:paraId="679D9874" w14:textId="3C69234B" w:rsidR="00C529E8" w:rsidRPr="005D7034" w:rsidRDefault="00C529E8" w:rsidP="00C11E3A">
      <w:pPr>
        <w:pStyle w:val="ListParagraph"/>
        <w:numPr>
          <w:ilvl w:val="0"/>
          <w:numId w:val="16"/>
        </w:numPr>
        <w:rPr>
          <w:szCs w:val="24"/>
          <w:lang w:val="en-US"/>
        </w:rPr>
      </w:pPr>
      <w:r w:rsidRPr="002E5803">
        <w:rPr>
          <w:szCs w:val="24"/>
          <w:lang w:val="en-US"/>
        </w:rPr>
        <w:t>Günter Muhrer</w:t>
      </w:r>
      <w:r w:rsidRPr="002E5803">
        <w:rPr>
          <w:rFonts w:asciiTheme="minorHAnsi" w:hAnsiTheme="minorHAnsi"/>
          <w:szCs w:val="24"/>
          <w:lang w:val="en-US"/>
        </w:rPr>
        <w:t xml:space="preserve"> and </w:t>
      </w:r>
      <w:r w:rsidRPr="002E5803">
        <w:rPr>
          <w:rFonts w:eastAsia="Cambria" w:cs="Tahoma"/>
          <w:bCs/>
          <w:szCs w:val="24"/>
          <w:lang w:val="en-US"/>
        </w:rPr>
        <w:t>François Javier</w:t>
      </w:r>
      <w:r>
        <w:rPr>
          <w:rFonts w:eastAsia="Cambria" w:cs="Tahoma"/>
          <w:bCs/>
          <w:szCs w:val="24"/>
          <w:lang w:val="en-US"/>
        </w:rPr>
        <w:t>, ‘ ESS Procedure for designing shielding for safety.” ESS-0019931.</w:t>
      </w:r>
    </w:p>
    <w:p w14:paraId="3718D4AC" w14:textId="634DFF07" w:rsidR="005D7034" w:rsidRPr="0096286A" w:rsidRDefault="00714828" w:rsidP="00C11E3A">
      <w:pPr>
        <w:pStyle w:val="ListParagraph"/>
        <w:numPr>
          <w:ilvl w:val="0"/>
          <w:numId w:val="16"/>
        </w:numPr>
        <w:rPr>
          <w:szCs w:val="24"/>
          <w:lang w:val="en-US"/>
        </w:rPr>
      </w:pPr>
      <w:r>
        <w:rPr>
          <w:rFonts w:eastAsia="Cambria" w:cs="Tahoma"/>
          <w:bCs/>
          <w:szCs w:val="24"/>
          <w:lang w:val="en-US"/>
        </w:rPr>
        <w:t xml:space="preserve">ESS site layout, </w:t>
      </w:r>
      <w:r w:rsidR="009B6DAB">
        <w:rPr>
          <w:rFonts w:eastAsia="Cambria" w:cs="Tahoma"/>
          <w:bCs/>
          <w:szCs w:val="24"/>
          <w:lang w:val="en-US"/>
        </w:rPr>
        <w:t>ESS-0011370.</w:t>
      </w:r>
    </w:p>
    <w:p w14:paraId="15459558" w14:textId="285F3AFE" w:rsidR="0096286A" w:rsidRPr="008E3533" w:rsidRDefault="0096286A" w:rsidP="00C11E3A">
      <w:pPr>
        <w:pStyle w:val="ListParagraph"/>
        <w:numPr>
          <w:ilvl w:val="0"/>
          <w:numId w:val="16"/>
        </w:numPr>
        <w:rPr>
          <w:szCs w:val="24"/>
          <w:lang w:val="en-US"/>
        </w:rPr>
      </w:pPr>
      <w:r>
        <w:rPr>
          <w:rFonts w:eastAsia="Cambria" w:cs="Tahoma"/>
          <w:bCs/>
          <w:szCs w:val="24"/>
          <w:lang w:val="en-US"/>
        </w:rPr>
        <w:t>P. Bentley, “Baseline for ESS Beamport Allocation.”, ESS-00</w:t>
      </w:r>
      <w:r w:rsidR="00EB1FA8">
        <w:rPr>
          <w:rFonts w:eastAsia="Cambria" w:cs="Tahoma"/>
          <w:bCs/>
          <w:szCs w:val="24"/>
          <w:lang w:val="en-US"/>
        </w:rPr>
        <w:t>47786.</w:t>
      </w:r>
    </w:p>
    <w:p w14:paraId="1866AE45" w14:textId="1B6568A0" w:rsidR="008E3533" w:rsidRPr="002E5803" w:rsidRDefault="008E3533" w:rsidP="00C11E3A">
      <w:pPr>
        <w:pStyle w:val="ListParagraph"/>
        <w:numPr>
          <w:ilvl w:val="0"/>
          <w:numId w:val="16"/>
        </w:numPr>
        <w:rPr>
          <w:szCs w:val="24"/>
          <w:lang w:val="en-US"/>
        </w:rPr>
      </w:pPr>
      <w:r>
        <w:rPr>
          <w:rFonts w:eastAsia="Cambria" w:cs="Tahoma"/>
          <w:bCs/>
          <w:szCs w:val="24"/>
          <w:lang w:val="en-US"/>
        </w:rPr>
        <w:t>Stuart Ansell and Monika Hartl, “NSS handbook assessment for the contribution of NSS work areas to the dose at the site boundary through skyshine.: ESS-0068567</w:t>
      </w:r>
    </w:p>
    <w:p w14:paraId="1BF9A8B4" w14:textId="77777777" w:rsidR="00C11E3A" w:rsidRDefault="00C11E3A" w:rsidP="004F4C8F">
      <w:pPr>
        <w:pStyle w:val="ESS-Heading1"/>
      </w:pPr>
      <w:bookmarkStart w:id="21" w:name="_Toc492384579"/>
      <w:r>
        <w:t>Document Revision history</w:t>
      </w:r>
      <w:bookmarkEnd w:id="21"/>
    </w:p>
    <w:tbl>
      <w:tblPr>
        <w:tblW w:w="5000" w:type="pct"/>
        <w:tblLayout w:type="fixed"/>
        <w:tblCellMar>
          <w:left w:w="70" w:type="dxa"/>
          <w:right w:w="70" w:type="dxa"/>
        </w:tblCellMar>
        <w:tblLook w:val="0000" w:firstRow="0" w:lastRow="0" w:firstColumn="0" w:lastColumn="0" w:noHBand="0" w:noVBand="0"/>
      </w:tblPr>
      <w:tblGrid>
        <w:gridCol w:w="914"/>
        <w:gridCol w:w="4401"/>
        <w:gridCol w:w="2333"/>
        <w:gridCol w:w="1258"/>
      </w:tblGrid>
      <w:tr w:rsidR="009C6F7F" w:rsidRPr="004F4C8F" w14:paraId="46C2AB12" w14:textId="77777777" w:rsidTr="009C6F7F">
        <w:trPr>
          <w:cantSplit/>
          <w:tblHeader/>
        </w:trPr>
        <w:tc>
          <w:tcPr>
            <w:tcW w:w="513" w:type="pct"/>
            <w:tcBorders>
              <w:top w:val="single" w:sz="12" w:space="0" w:color="auto"/>
              <w:bottom w:val="single" w:sz="6" w:space="0" w:color="auto"/>
            </w:tcBorders>
            <w:shd w:val="clear" w:color="auto" w:fill="auto"/>
          </w:tcPr>
          <w:p w14:paraId="53C9D10A" w14:textId="77777777" w:rsidR="009C6F7F" w:rsidRPr="004F4C8F" w:rsidRDefault="009C6F7F" w:rsidP="004F4C8F">
            <w:pPr>
              <w:pStyle w:val="ESS-TableHeader"/>
            </w:pPr>
            <w:r>
              <w:t>Revision</w:t>
            </w:r>
          </w:p>
        </w:tc>
        <w:tc>
          <w:tcPr>
            <w:tcW w:w="2471" w:type="pct"/>
            <w:tcBorders>
              <w:top w:val="single" w:sz="12" w:space="0" w:color="auto"/>
              <w:bottom w:val="single" w:sz="6" w:space="0" w:color="auto"/>
            </w:tcBorders>
            <w:shd w:val="clear" w:color="auto" w:fill="auto"/>
          </w:tcPr>
          <w:p w14:paraId="006549B3" w14:textId="77777777" w:rsidR="009C6F7F" w:rsidRPr="004F4C8F" w:rsidRDefault="009C6F7F" w:rsidP="009C6F7F">
            <w:pPr>
              <w:pStyle w:val="ESS-TableHeader"/>
            </w:pPr>
            <w:r w:rsidRPr="004F4C8F">
              <w:t xml:space="preserve">Reason for </w:t>
            </w:r>
            <w:r>
              <w:t>and description of change</w:t>
            </w:r>
          </w:p>
        </w:tc>
        <w:tc>
          <w:tcPr>
            <w:tcW w:w="1310" w:type="pct"/>
            <w:tcBorders>
              <w:top w:val="single" w:sz="12" w:space="0" w:color="auto"/>
              <w:bottom w:val="single" w:sz="6" w:space="0" w:color="auto"/>
            </w:tcBorders>
          </w:tcPr>
          <w:p w14:paraId="48C8FC11" w14:textId="77777777" w:rsidR="009C6F7F" w:rsidRPr="004F4C8F" w:rsidRDefault="009C6F7F" w:rsidP="004F4C8F">
            <w:pPr>
              <w:pStyle w:val="ESS-TableHeader"/>
            </w:pPr>
            <w:r>
              <w:t>Author</w:t>
            </w:r>
          </w:p>
        </w:tc>
        <w:tc>
          <w:tcPr>
            <w:tcW w:w="706" w:type="pct"/>
            <w:tcBorders>
              <w:top w:val="single" w:sz="12" w:space="0" w:color="auto"/>
              <w:bottom w:val="single" w:sz="6" w:space="0" w:color="auto"/>
            </w:tcBorders>
          </w:tcPr>
          <w:p w14:paraId="617B002D" w14:textId="77777777" w:rsidR="009C6F7F" w:rsidRPr="004F4C8F" w:rsidRDefault="009C6F7F" w:rsidP="004F4C8F">
            <w:pPr>
              <w:pStyle w:val="ESS-TableHeader"/>
            </w:pPr>
            <w:r w:rsidRPr="004F4C8F">
              <w:t>Date</w:t>
            </w:r>
          </w:p>
        </w:tc>
      </w:tr>
      <w:tr w:rsidR="009C6F7F" w:rsidRPr="004F4C8F" w14:paraId="2C8FF5DE" w14:textId="77777777" w:rsidTr="009C6F7F">
        <w:trPr>
          <w:cantSplit/>
        </w:trPr>
        <w:tc>
          <w:tcPr>
            <w:tcW w:w="513" w:type="pct"/>
            <w:tcBorders>
              <w:top w:val="single" w:sz="6" w:space="0" w:color="auto"/>
            </w:tcBorders>
            <w:shd w:val="clear" w:color="auto" w:fill="auto"/>
          </w:tcPr>
          <w:p w14:paraId="35299A85" w14:textId="6F466178" w:rsidR="009C6F7F" w:rsidRPr="004F4C8F" w:rsidRDefault="009C6F7F" w:rsidP="00590145">
            <w:pPr>
              <w:pStyle w:val="ESS-TableText"/>
            </w:pPr>
            <w:r w:rsidRPr="004F4C8F">
              <w:t>1</w:t>
            </w:r>
          </w:p>
        </w:tc>
        <w:tc>
          <w:tcPr>
            <w:tcW w:w="2471" w:type="pct"/>
            <w:tcBorders>
              <w:top w:val="single" w:sz="6" w:space="0" w:color="auto"/>
            </w:tcBorders>
            <w:shd w:val="clear" w:color="auto" w:fill="auto"/>
          </w:tcPr>
          <w:p w14:paraId="1819B703" w14:textId="77777777" w:rsidR="009C6F7F" w:rsidRPr="004F4C8F" w:rsidRDefault="009C6F7F" w:rsidP="004F4C8F">
            <w:pPr>
              <w:pStyle w:val="ESS-TableText"/>
            </w:pPr>
            <w:r>
              <w:t>First issue</w:t>
            </w:r>
          </w:p>
        </w:tc>
        <w:tc>
          <w:tcPr>
            <w:tcW w:w="1310" w:type="pct"/>
            <w:tcBorders>
              <w:top w:val="single" w:sz="6" w:space="0" w:color="auto"/>
            </w:tcBorders>
          </w:tcPr>
          <w:p w14:paraId="2D8EA7A3" w14:textId="77777777" w:rsidR="009C6F7F" w:rsidRPr="004F4C8F" w:rsidRDefault="009C6F7F" w:rsidP="004F4C8F">
            <w:pPr>
              <w:pStyle w:val="ESS-TableText"/>
            </w:pPr>
            <w:r>
              <w:t>&lt;&lt;Name&gt;&gt;</w:t>
            </w:r>
          </w:p>
        </w:tc>
        <w:tc>
          <w:tcPr>
            <w:tcW w:w="706" w:type="pct"/>
            <w:tcBorders>
              <w:top w:val="single" w:sz="6" w:space="0" w:color="auto"/>
            </w:tcBorders>
          </w:tcPr>
          <w:p w14:paraId="54C1DEDF" w14:textId="1B468260" w:rsidR="009C6F7F" w:rsidRPr="004F4C8F" w:rsidRDefault="00590145" w:rsidP="00590145">
            <w:pPr>
              <w:pStyle w:val="ESS-TableText"/>
            </w:pPr>
            <w:r>
              <w:t>&lt;&lt;YYYY-MM-DD&gt;&gt;</w:t>
            </w:r>
          </w:p>
        </w:tc>
      </w:tr>
      <w:tr w:rsidR="009C6F7F" w:rsidRPr="004F4C8F" w14:paraId="5BF4E412" w14:textId="77777777" w:rsidTr="009C6F7F">
        <w:trPr>
          <w:cantSplit/>
        </w:trPr>
        <w:tc>
          <w:tcPr>
            <w:tcW w:w="513" w:type="pct"/>
            <w:shd w:val="clear" w:color="auto" w:fill="auto"/>
          </w:tcPr>
          <w:p w14:paraId="29D80BDC" w14:textId="77777777" w:rsidR="009C6F7F" w:rsidRPr="004F4C8F" w:rsidRDefault="009C6F7F" w:rsidP="004F4C8F">
            <w:pPr>
              <w:pStyle w:val="ESS-TableText"/>
            </w:pPr>
          </w:p>
        </w:tc>
        <w:tc>
          <w:tcPr>
            <w:tcW w:w="2471" w:type="pct"/>
            <w:shd w:val="clear" w:color="auto" w:fill="auto"/>
          </w:tcPr>
          <w:p w14:paraId="604BB1F7" w14:textId="0DD414BE" w:rsidR="009C6F7F" w:rsidRPr="004F4C8F" w:rsidRDefault="009C6F7F" w:rsidP="00590145">
            <w:pPr>
              <w:pStyle w:val="ESS-TableText"/>
            </w:pPr>
            <w:r>
              <w:t>&lt;&lt;</w:t>
            </w:r>
            <w:r w:rsidR="00590145">
              <w:t xml:space="preserve">Keep </w:t>
            </w:r>
            <w:r>
              <w:t>only full number revisions</w:t>
            </w:r>
            <w:r w:rsidR="00590145">
              <w:t xml:space="preserve"> when approving document</w:t>
            </w:r>
            <w:r>
              <w:t>&gt;&gt;</w:t>
            </w:r>
          </w:p>
        </w:tc>
        <w:tc>
          <w:tcPr>
            <w:tcW w:w="1310" w:type="pct"/>
          </w:tcPr>
          <w:p w14:paraId="52F72FAA" w14:textId="77777777" w:rsidR="009C6F7F" w:rsidRPr="004F4C8F" w:rsidRDefault="009C6F7F" w:rsidP="004F4C8F">
            <w:pPr>
              <w:pStyle w:val="ESS-TableText"/>
            </w:pPr>
          </w:p>
        </w:tc>
        <w:tc>
          <w:tcPr>
            <w:tcW w:w="706" w:type="pct"/>
          </w:tcPr>
          <w:p w14:paraId="6FEC6BEA" w14:textId="77777777" w:rsidR="009C6F7F" w:rsidRPr="004F4C8F" w:rsidRDefault="009C6F7F" w:rsidP="004F4C8F">
            <w:pPr>
              <w:pStyle w:val="ESS-TableText"/>
            </w:pPr>
          </w:p>
        </w:tc>
      </w:tr>
      <w:tr w:rsidR="009C6F7F" w:rsidRPr="004F4C8F" w14:paraId="10247F87" w14:textId="77777777" w:rsidTr="009C6F7F">
        <w:trPr>
          <w:cantSplit/>
        </w:trPr>
        <w:tc>
          <w:tcPr>
            <w:tcW w:w="513" w:type="pct"/>
            <w:tcBorders>
              <w:bottom w:val="single" w:sz="12" w:space="0" w:color="auto"/>
            </w:tcBorders>
            <w:shd w:val="clear" w:color="auto" w:fill="auto"/>
          </w:tcPr>
          <w:p w14:paraId="5CDE6E50" w14:textId="77777777" w:rsidR="009C6F7F" w:rsidRPr="004F4C8F" w:rsidRDefault="009C6F7F" w:rsidP="004F4C8F">
            <w:pPr>
              <w:pStyle w:val="ESS-TableText"/>
            </w:pPr>
          </w:p>
        </w:tc>
        <w:tc>
          <w:tcPr>
            <w:tcW w:w="2471" w:type="pct"/>
            <w:tcBorders>
              <w:bottom w:val="single" w:sz="12" w:space="0" w:color="auto"/>
            </w:tcBorders>
            <w:shd w:val="clear" w:color="auto" w:fill="auto"/>
          </w:tcPr>
          <w:p w14:paraId="5C3AE2DB" w14:textId="77777777" w:rsidR="009C6F7F" w:rsidRPr="004F4C8F" w:rsidRDefault="009C6F7F" w:rsidP="004F4C8F">
            <w:pPr>
              <w:pStyle w:val="ESS-TableText"/>
            </w:pPr>
          </w:p>
        </w:tc>
        <w:tc>
          <w:tcPr>
            <w:tcW w:w="1310" w:type="pct"/>
            <w:tcBorders>
              <w:bottom w:val="single" w:sz="12" w:space="0" w:color="auto"/>
            </w:tcBorders>
          </w:tcPr>
          <w:p w14:paraId="5A1DC5B2" w14:textId="77777777" w:rsidR="009C6F7F" w:rsidRPr="004F4C8F" w:rsidRDefault="009C6F7F" w:rsidP="004F4C8F">
            <w:pPr>
              <w:pStyle w:val="ESS-TableText"/>
            </w:pPr>
          </w:p>
        </w:tc>
        <w:tc>
          <w:tcPr>
            <w:tcW w:w="706" w:type="pct"/>
            <w:tcBorders>
              <w:bottom w:val="single" w:sz="12" w:space="0" w:color="auto"/>
            </w:tcBorders>
          </w:tcPr>
          <w:p w14:paraId="43362B36" w14:textId="77777777" w:rsidR="009C6F7F" w:rsidRPr="004F4C8F" w:rsidRDefault="009C6F7F" w:rsidP="004F4C8F">
            <w:pPr>
              <w:pStyle w:val="ESS-TableText"/>
            </w:pPr>
          </w:p>
        </w:tc>
      </w:tr>
    </w:tbl>
    <w:p w14:paraId="633D0767" w14:textId="77777777" w:rsidR="00C11E3A" w:rsidRPr="0017476C" w:rsidRDefault="00C11E3A" w:rsidP="00C11E3A"/>
    <w:sectPr w:rsidR="00C11E3A" w:rsidRPr="0017476C" w:rsidSect="00720902">
      <w:headerReference w:type="even" r:id="rId9"/>
      <w:headerReference w:type="default" r:id="rId10"/>
      <w:footerReference w:type="even" r:id="rId11"/>
      <w:footerReference w:type="default" r:id="rId12"/>
      <w:headerReference w:type="first" r:id="rId13"/>
      <w:footerReference w:type="first" r:id="rId14"/>
      <w:pgSz w:w="11907" w:h="16840" w:code="9"/>
      <w:pgMar w:top="1701" w:right="1440" w:bottom="1440" w:left="1701" w:header="731" w:footer="73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822E7" w14:textId="77777777" w:rsidR="00EA6979" w:rsidRDefault="00EA6979" w:rsidP="00D84B5E">
      <w:pPr>
        <w:spacing w:after="0" w:line="240" w:lineRule="auto"/>
      </w:pPr>
      <w:r>
        <w:separator/>
      </w:r>
    </w:p>
  </w:endnote>
  <w:endnote w:type="continuationSeparator" w:id="0">
    <w:p w14:paraId="7265DA83" w14:textId="77777777" w:rsidR="00EA6979" w:rsidRDefault="00EA6979" w:rsidP="00D8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577E" w14:textId="77777777" w:rsidR="00242DE9" w:rsidRDefault="00242D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29EE" w14:textId="089D13FB" w:rsidR="00242DE9" w:rsidRDefault="00242DE9" w:rsidP="002C5728">
    <w:pPr>
      <w:pStyle w:val="Footer"/>
      <w:jc w:val="center"/>
    </w:pPr>
    <w:r>
      <w:rPr>
        <w:rStyle w:val="PageNumber"/>
      </w:rPr>
      <w:fldChar w:fldCharType="begin"/>
    </w:r>
    <w:r>
      <w:rPr>
        <w:rStyle w:val="PageNumber"/>
      </w:rPr>
      <w:instrText xml:space="preserve"> PAGE </w:instrText>
    </w:r>
    <w:r>
      <w:rPr>
        <w:rStyle w:val="PageNumber"/>
      </w:rPr>
      <w:fldChar w:fldCharType="separate"/>
    </w:r>
    <w:r w:rsidR="00F60183">
      <w:rPr>
        <w:rStyle w:val="PageNumber"/>
        <w:noProof/>
      </w:rPr>
      <w:t>9</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F60183">
      <w:rPr>
        <w:rStyle w:val="PageNumber"/>
        <w:noProof/>
      </w:rPr>
      <w:t>9</w:t>
    </w:r>
    <w:r>
      <w:rPr>
        <w:rStyle w:val="PageNumber"/>
      </w:rPr>
      <w:fldChar w:fldCharType="end"/>
    </w:r>
    <w:r>
      <w:rPr>
        <w:rStyle w:val="PageNumber"/>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E85F9" w14:textId="3A4679AE" w:rsidR="00242DE9" w:rsidRPr="002C5728" w:rsidRDefault="00242DE9" w:rsidP="002C5728">
    <w:pPr>
      <w:pStyle w:val="Footer"/>
      <w:tabs>
        <w:tab w:val="left" w:pos="4253"/>
      </w:tabs>
      <w:ind w:right="357"/>
      <w:rPr>
        <w:sz w:val="13"/>
        <w:szCs w:val="13"/>
      </w:rPr>
    </w:pPr>
    <w:r w:rsidRPr="00CA35E0">
      <w:rPr>
        <w:sz w:val="13"/>
        <w:szCs w:val="13"/>
      </w:rPr>
      <w:t xml:space="preserve">Template: </w:t>
    </w:r>
    <w:r w:rsidRPr="00CA35E0">
      <w:rPr>
        <w:sz w:val="13"/>
        <w:szCs w:val="13"/>
      </w:rPr>
      <w:fldChar w:fldCharType="begin"/>
    </w:r>
    <w:r w:rsidRPr="00CA35E0">
      <w:rPr>
        <w:sz w:val="13"/>
        <w:szCs w:val="13"/>
      </w:rPr>
      <w:instrText xml:space="preserve"> DOCPROPERTY "MXTemplateTitle"  \* MERGEFORMAT </w:instrText>
    </w:r>
    <w:r w:rsidRPr="00CA35E0">
      <w:rPr>
        <w:sz w:val="13"/>
        <w:szCs w:val="13"/>
      </w:rPr>
      <w:fldChar w:fldCharType="separate"/>
    </w:r>
    <w:r w:rsidR="00467AAE">
      <w:rPr>
        <w:sz w:val="13"/>
        <w:szCs w:val="13"/>
      </w:rPr>
      <w:t>Report</w:t>
    </w:r>
    <w:r w:rsidRPr="00CA35E0">
      <w:rPr>
        <w:sz w:val="13"/>
        <w:szCs w:val="13"/>
      </w:rPr>
      <w:fldChar w:fldCharType="end"/>
    </w:r>
    <w:r w:rsidRPr="00CA35E0">
      <w:rPr>
        <w:sz w:val="13"/>
        <w:szCs w:val="13"/>
      </w:rPr>
      <w:t xml:space="preserve"> (</w:t>
    </w:r>
    <w:r w:rsidRPr="00CA35E0">
      <w:rPr>
        <w:sz w:val="13"/>
        <w:szCs w:val="13"/>
      </w:rPr>
      <w:fldChar w:fldCharType="begin"/>
    </w:r>
    <w:r w:rsidRPr="00CA35E0">
      <w:rPr>
        <w:sz w:val="13"/>
        <w:szCs w:val="13"/>
      </w:rPr>
      <w:instrText xml:space="preserve"> DOCPROPERTY "MXTemplateName"  \* MERGEFORMAT </w:instrText>
    </w:r>
    <w:r w:rsidRPr="00CA35E0">
      <w:rPr>
        <w:sz w:val="13"/>
        <w:szCs w:val="13"/>
      </w:rPr>
      <w:fldChar w:fldCharType="separate"/>
    </w:r>
    <w:r w:rsidR="00467AAE">
      <w:rPr>
        <w:sz w:val="13"/>
        <w:szCs w:val="13"/>
      </w:rPr>
      <w:t>ESS-0060987</w:t>
    </w:r>
    <w:r w:rsidRPr="00CA35E0">
      <w:rPr>
        <w:sz w:val="13"/>
        <w:szCs w:val="13"/>
      </w:rPr>
      <w:fldChar w:fldCharType="end"/>
    </w:r>
    <w:r w:rsidRPr="00CA35E0">
      <w:rPr>
        <w:sz w:val="13"/>
        <w:szCs w:val="13"/>
      </w:rPr>
      <w:t xml:space="preserve"> Rev: </w:t>
    </w:r>
    <w:r w:rsidRPr="00CA35E0">
      <w:rPr>
        <w:sz w:val="13"/>
        <w:szCs w:val="13"/>
      </w:rPr>
      <w:fldChar w:fldCharType="begin"/>
    </w:r>
    <w:r w:rsidRPr="00CA35E0">
      <w:rPr>
        <w:sz w:val="13"/>
        <w:szCs w:val="13"/>
      </w:rPr>
      <w:instrText xml:space="preserve"> DOCPROPERTY "MXTemplateRev"  \* MERGEFORMAT </w:instrText>
    </w:r>
    <w:r w:rsidRPr="00CA35E0">
      <w:rPr>
        <w:sz w:val="13"/>
        <w:szCs w:val="13"/>
      </w:rPr>
      <w:fldChar w:fldCharType="separate"/>
    </w:r>
    <w:r w:rsidR="00467AAE">
      <w:rPr>
        <w:sz w:val="13"/>
        <w:szCs w:val="13"/>
      </w:rPr>
      <w:t>3</w:t>
    </w:r>
    <w:r w:rsidRPr="00CA35E0">
      <w:rPr>
        <w:sz w:val="13"/>
        <w:szCs w:val="13"/>
      </w:rPr>
      <w:fldChar w:fldCharType="end"/>
    </w:r>
    <w:r w:rsidRPr="00CA35E0">
      <w:rPr>
        <w:sz w:val="13"/>
        <w:szCs w:val="13"/>
      </w:rPr>
      <w:t xml:space="preserve">, Active date: </w:t>
    </w:r>
    <w:r w:rsidRPr="00CA35E0">
      <w:rPr>
        <w:sz w:val="13"/>
        <w:szCs w:val="13"/>
      </w:rPr>
      <w:fldChar w:fldCharType="begin"/>
    </w:r>
    <w:r w:rsidRPr="00CA35E0">
      <w:rPr>
        <w:sz w:val="13"/>
        <w:szCs w:val="13"/>
      </w:rPr>
      <w:instrText xml:space="preserve"> DOCPROPERTY "MXTemplateReleaseDate"  \* MERGEFORMAT </w:instrText>
    </w:r>
    <w:r w:rsidRPr="00CA35E0">
      <w:fldChar w:fldCharType="separate"/>
    </w:r>
    <w:r w:rsidR="00467AAE" w:rsidRPr="00467AAE">
      <w:t>Apr 8, 2017</w:t>
    </w:r>
    <w:r w:rsidRPr="00CA35E0">
      <w:rPr>
        <w:sz w:val="13"/>
        <w:szCs w:val="13"/>
      </w:rPr>
      <w:fldChar w:fldCharType="end"/>
    </w:r>
    <w:r w:rsidRPr="00CA35E0">
      <w:rPr>
        <w:sz w:val="13"/>
        <w:szCs w:val="13"/>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2670B" w14:textId="77777777" w:rsidR="00EA6979" w:rsidRDefault="00EA6979" w:rsidP="00D84B5E">
      <w:pPr>
        <w:spacing w:after="0" w:line="240" w:lineRule="auto"/>
      </w:pPr>
      <w:r>
        <w:separator/>
      </w:r>
    </w:p>
  </w:footnote>
  <w:footnote w:type="continuationSeparator" w:id="0">
    <w:p w14:paraId="3C9AB7B9" w14:textId="77777777" w:rsidR="00EA6979" w:rsidRDefault="00EA6979" w:rsidP="00D84B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48E4" w14:textId="77777777" w:rsidR="00242DE9" w:rsidRDefault="00EA6979">
    <w:pPr>
      <w:pStyle w:val="Header"/>
    </w:pPr>
    <w:sdt>
      <w:sdtPr>
        <w:id w:val="281778772"/>
        <w:placeholder>
          <w:docPart w:val="9FAB5D7CA2146E4B9B19FCB8D4A3979B"/>
        </w:placeholder>
        <w:temporary/>
        <w:showingPlcHdr/>
      </w:sdtPr>
      <w:sdtEndPr/>
      <w:sdtContent>
        <w:r w:rsidR="00242DE9">
          <w:t>[Type text]</w:t>
        </w:r>
      </w:sdtContent>
    </w:sdt>
    <w:r w:rsidR="00242DE9">
      <w:ptab w:relativeTo="margin" w:alignment="center" w:leader="none"/>
    </w:r>
    <w:sdt>
      <w:sdtPr>
        <w:id w:val="-247424033"/>
        <w:placeholder>
          <w:docPart w:val="1A5E4330DD76D24DB286646ADB47F57F"/>
        </w:placeholder>
        <w:temporary/>
        <w:showingPlcHdr/>
      </w:sdtPr>
      <w:sdtEndPr/>
      <w:sdtContent>
        <w:r w:rsidR="00242DE9">
          <w:t>[Type text]</w:t>
        </w:r>
      </w:sdtContent>
    </w:sdt>
    <w:r w:rsidR="00242DE9">
      <w:ptab w:relativeTo="margin" w:alignment="right" w:leader="none"/>
    </w:r>
    <w:sdt>
      <w:sdtPr>
        <w:id w:val="651568375"/>
        <w:placeholder>
          <w:docPart w:val="D2EF777AECAF0E409F1A70E701A54498"/>
        </w:placeholder>
        <w:temporary/>
        <w:showingPlcHdr/>
      </w:sdtPr>
      <w:sdtEndPr/>
      <w:sdtContent>
        <w:r w:rsidR="00242DE9">
          <w:t>[Type text]</w:t>
        </w:r>
      </w:sdtContent>
    </w:sdt>
  </w:p>
  <w:p w14:paraId="2B6A39C8" w14:textId="77777777" w:rsidR="00242DE9" w:rsidRDefault="00242D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4271"/>
      <w:gridCol w:w="1877"/>
      <w:gridCol w:w="1240"/>
    </w:tblGrid>
    <w:tr w:rsidR="00242DE9" w14:paraId="5E32AAF0" w14:textId="77777777" w:rsidTr="00242DE9">
      <w:trPr>
        <w:trHeight w:val="196"/>
      </w:trPr>
      <w:tc>
        <w:tcPr>
          <w:tcW w:w="852" w:type="pct"/>
        </w:tcPr>
        <w:p w14:paraId="79F49351" w14:textId="77777777" w:rsidR="00242DE9" w:rsidRPr="005226FB" w:rsidRDefault="00242DE9" w:rsidP="00242DE9">
          <w:pPr>
            <w:pStyle w:val="Header"/>
          </w:pPr>
          <w:r>
            <w:t>Document Type</w:t>
          </w:r>
        </w:p>
      </w:tc>
      <w:tc>
        <w:tcPr>
          <w:tcW w:w="2398" w:type="pct"/>
        </w:tcPr>
        <w:p w14:paraId="36C47F9D" w14:textId="77777777" w:rsidR="00242DE9" w:rsidRPr="005226FB" w:rsidRDefault="004159C9" w:rsidP="00242DE9">
          <w:pPr>
            <w:pStyle w:val="Header"/>
          </w:pPr>
          <w:fldSimple w:instr=" DOCPROPERTY &quot;MXType.Localized&quot;  \* MERGEFORMAT ">
            <w:r w:rsidR="00467AAE">
              <w:t>Analysis Report</w:t>
            </w:r>
          </w:fldSimple>
        </w:p>
      </w:tc>
      <w:tc>
        <w:tcPr>
          <w:tcW w:w="1054" w:type="pct"/>
        </w:tcPr>
        <w:p w14:paraId="2B60872C" w14:textId="06B54DD5" w:rsidR="00242DE9" w:rsidRPr="005226FB" w:rsidRDefault="00242DE9" w:rsidP="002C5728">
          <w:pPr>
            <w:pStyle w:val="Header"/>
          </w:pPr>
          <w:r>
            <w:t>Date</w:t>
          </w:r>
        </w:p>
      </w:tc>
      <w:tc>
        <w:tcPr>
          <w:tcW w:w="696" w:type="pct"/>
        </w:tcPr>
        <w:p w14:paraId="312E745C" w14:textId="77777777" w:rsidR="00242DE9" w:rsidRDefault="004159C9" w:rsidP="00242DE9">
          <w:pPr>
            <w:pStyle w:val="Header"/>
          </w:pPr>
          <w:fldSimple w:instr=" DOCPROPERTY &quot;MXPrinted Date&quot;  \* MERGEFORMAT ">
            <w:r w:rsidR="00467AAE">
              <w:t>Sep 8, 2017</w:t>
            </w:r>
          </w:fldSimple>
        </w:p>
      </w:tc>
    </w:tr>
    <w:tr w:rsidR="00242DE9" w14:paraId="68449723" w14:textId="77777777" w:rsidTr="00242DE9">
      <w:trPr>
        <w:trHeight w:val="196"/>
      </w:trPr>
      <w:tc>
        <w:tcPr>
          <w:tcW w:w="852" w:type="pct"/>
        </w:tcPr>
        <w:p w14:paraId="58D497E5" w14:textId="77777777" w:rsidR="00242DE9" w:rsidRPr="005226FB" w:rsidRDefault="00242DE9" w:rsidP="00242DE9">
          <w:pPr>
            <w:pStyle w:val="Header"/>
          </w:pPr>
          <w:r w:rsidRPr="005226FB">
            <w:t>Document Number</w:t>
          </w:r>
        </w:p>
      </w:tc>
      <w:tc>
        <w:tcPr>
          <w:tcW w:w="2398" w:type="pct"/>
        </w:tcPr>
        <w:p w14:paraId="6ED41CCE" w14:textId="77777777" w:rsidR="00242DE9" w:rsidRPr="005226FB" w:rsidRDefault="004159C9" w:rsidP="00242DE9">
          <w:pPr>
            <w:pStyle w:val="Header"/>
          </w:pPr>
          <w:fldSimple w:instr=" DOCPROPERTY &quot;MXName&quot;  \* MERGEFORMAT ">
            <w:r w:rsidR="00467AAE">
              <w:t>ESS-0134533</w:t>
            </w:r>
          </w:fldSimple>
        </w:p>
      </w:tc>
      <w:tc>
        <w:tcPr>
          <w:tcW w:w="1054" w:type="pct"/>
        </w:tcPr>
        <w:p w14:paraId="5A620B43" w14:textId="77777777" w:rsidR="00242DE9" w:rsidRPr="005226FB" w:rsidRDefault="00242DE9" w:rsidP="00242DE9">
          <w:pPr>
            <w:pStyle w:val="Header"/>
          </w:pPr>
          <w:r>
            <w:t xml:space="preserve">State </w:t>
          </w:r>
        </w:p>
      </w:tc>
      <w:tc>
        <w:tcPr>
          <w:tcW w:w="696" w:type="pct"/>
        </w:tcPr>
        <w:p w14:paraId="7E56F010" w14:textId="77777777" w:rsidR="00242DE9" w:rsidRPr="005226FB" w:rsidRDefault="004159C9" w:rsidP="00242DE9">
          <w:pPr>
            <w:pStyle w:val="Header"/>
          </w:pPr>
          <w:fldSimple w:instr=" DOCPROPERTY &quot;MXCurrent&quot;  \* MERGEFORMAT ">
            <w:r w:rsidR="00467AAE">
              <w:t>Preliminary</w:t>
            </w:r>
          </w:fldSimple>
        </w:p>
      </w:tc>
    </w:tr>
    <w:tr w:rsidR="00242DE9" w14:paraId="08FD610C" w14:textId="77777777" w:rsidTr="00242DE9">
      <w:trPr>
        <w:trHeight w:val="196"/>
      </w:trPr>
      <w:tc>
        <w:tcPr>
          <w:tcW w:w="852" w:type="pct"/>
        </w:tcPr>
        <w:p w14:paraId="2A670756" w14:textId="77777777" w:rsidR="00242DE9" w:rsidRPr="005226FB" w:rsidRDefault="00242DE9" w:rsidP="00242DE9">
          <w:pPr>
            <w:pStyle w:val="Header"/>
          </w:pPr>
          <w:r w:rsidRPr="005226FB">
            <w:t>Revision</w:t>
          </w:r>
        </w:p>
      </w:tc>
      <w:tc>
        <w:tcPr>
          <w:tcW w:w="2398" w:type="pct"/>
        </w:tcPr>
        <w:p w14:paraId="4D913E1E" w14:textId="77777777" w:rsidR="00242DE9" w:rsidRPr="005226FB" w:rsidRDefault="004159C9" w:rsidP="00242DE9">
          <w:pPr>
            <w:pStyle w:val="Header"/>
          </w:pPr>
          <w:fldSimple w:instr=" DOCPROPERTY &quot;MXRevision&quot;  \* MERGEFORMAT ">
            <w:r w:rsidR="00467AAE">
              <w:t>1</w:t>
            </w:r>
          </w:fldSimple>
          <w:r w:rsidR="00242DE9">
            <w:t xml:space="preserve"> </w:t>
          </w:r>
          <w:fldSimple w:instr=" DOCPROPERTY &quot;MXPrinted Version&quot;  \* MERGEFORMAT ">
            <w:r w:rsidR="00467AAE">
              <w:t>(4)</w:t>
            </w:r>
          </w:fldSimple>
        </w:p>
      </w:tc>
      <w:tc>
        <w:tcPr>
          <w:tcW w:w="1054" w:type="pct"/>
        </w:tcPr>
        <w:p w14:paraId="5808D080" w14:textId="77777777" w:rsidR="00242DE9" w:rsidRPr="005226FB" w:rsidRDefault="00242DE9" w:rsidP="00242DE9">
          <w:pPr>
            <w:pStyle w:val="Header"/>
          </w:pPr>
          <w:r>
            <w:t xml:space="preserve">Confidentiality Level </w:t>
          </w:r>
        </w:p>
      </w:tc>
      <w:tc>
        <w:tcPr>
          <w:tcW w:w="696" w:type="pct"/>
        </w:tcPr>
        <w:p w14:paraId="6533A2E7" w14:textId="77777777" w:rsidR="00242DE9" w:rsidRPr="005226FB" w:rsidRDefault="00242DE9" w:rsidP="00242DE9">
          <w:pPr>
            <w:pStyle w:val="Header"/>
          </w:pPr>
          <w:r w:rsidRPr="009A00BB">
            <w:fldChar w:fldCharType="begin"/>
          </w:r>
          <w:r w:rsidRPr="009A00BB">
            <w:instrText xml:space="preserve"> IF </w:instrText>
          </w:r>
          <w:fldSimple w:instr=" DOCPROPERTY &quot;MXConfidentiality&quot;  \* MERGEFORMAT ">
            <w:r w:rsidR="00467AAE">
              <w:instrText>Internal</w:instrText>
            </w:r>
          </w:fldSimple>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fldSimple w:instr=" DOCPROPERTY &quot;MXConfidentiality&quot; \* MERGEFORMAT ">
            <w:r w:rsidR="00467AAE">
              <w:instrText>Internal</w:instrText>
            </w:r>
          </w:fldSimple>
          <w:r w:rsidRPr="009A00BB">
            <w:instrText xml:space="preserve"> </w:instrText>
          </w:r>
          <w:r w:rsidRPr="009A00BB">
            <w:fldChar w:fldCharType="separate"/>
          </w:r>
          <w:r w:rsidR="00467AAE">
            <w:rPr>
              <w:noProof/>
            </w:rPr>
            <w:t>Internal</w:t>
          </w:r>
          <w:r w:rsidRPr="009A00BB">
            <w:fldChar w:fldCharType="end"/>
          </w:r>
        </w:p>
      </w:tc>
    </w:tr>
  </w:tbl>
  <w:p w14:paraId="090DE131" w14:textId="77777777" w:rsidR="00242DE9" w:rsidRPr="002C5728" w:rsidRDefault="00242DE9" w:rsidP="002C57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559"/>
      <w:gridCol w:w="2353"/>
    </w:tblGrid>
    <w:tr w:rsidR="00242DE9" w14:paraId="061B4016" w14:textId="77777777" w:rsidTr="00F13777">
      <w:trPr>
        <w:trHeight w:val="196"/>
      </w:trPr>
      <w:tc>
        <w:tcPr>
          <w:tcW w:w="5070" w:type="dxa"/>
          <w:vMerge w:val="restart"/>
        </w:tcPr>
        <w:p w14:paraId="5112F187" w14:textId="77777777" w:rsidR="00242DE9" w:rsidRDefault="00242DE9" w:rsidP="00F13777">
          <w:pPr>
            <w:pStyle w:val="Header"/>
          </w:pPr>
          <w:r>
            <w:rPr>
              <w:noProof/>
              <w:lang w:eastAsia="en-GB"/>
            </w:rPr>
            <w:drawing>
              <wp:inline distT="0" distB="0" distL="0" distR="0" wp14:anchorId="7C70A15E" wp14:editId="07EB7C0D">
                <wp:extent cx="1314730" cy="704850"/>
                <wp:effectExtent l="0" t="0" r="0" b="0"/>
                <wp:docPr id="1"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1559" w:type="dxa"/>
        </w:tcPr>
        <w:p w14:paraId="5EC8B8A9" w14:textId="77777777" w:rsidR="00242DE9" w:rsidRPr="005226FB" w:rsidRDefault="00242DE9" w:rsidP="00F13777">
          <w:pPr>
            <w:pStyle w:val="Header"/>
          </w:pPr>
          <w:r>
            <w:t>Document Type</w:t>
          </w:r>
        </w:p>
      </w:tc>
      <w:tc>
        <w:tcPr>
          <w:tcW w:w="2353" w:type="dxa"/>
        </w:tcPr>
        <w:p w14:paraId="55610575" w14:textId="77777777" w:rsidR="00242DE9" w:rsidRPr="005226FB" w:rsidRDefault="004159C9" w:rsidP="00F13777">
          <w:pPr>
            <w:pStyle w:val="Header"/>
          </w:pPr>
          <w:fldSimple w:instr=" DOCPROPERTY &quot;MXType.Localized&quot;  \* MERGEFORMAT ">
            <w:r w:rsidR="00467AAE">
              <w:t>Analysis Report</w:t>
            </w:r>
          </w:fldSimple>
        </w:p>
      </w:tc>
    </w:tr>
    <w:tr w:rsidR="00242DE9" w14:paraId="4C00A66C" w14:textId="77777777" w:rsidTr="00F13777">
      <w:trPr>
        <w:trHeight w:val="196"/>
      </w:trPr>
      <w:tc>
        <w:tcPr>
          <w:tcW w:w="5070" w:type="dxa"/>
          <w:vMerge/>
        </w:tcPr>
        <w:p w14:paraId="5E7632A7" w14:textId="77777777" w:rsidR="00242DE9" w:rsidRDefault="00242DE9" w:rsidP="00F13777">
          <w:pPr>
            <w:pStyle w:val="Header"/>
          </w:pPr>
        </w:p>
      </w:tc>
      <w:tc>
        <w:tcPr>
          <w:tcW w:w="1559" w:type="dxa"/>
        </w:tcPr>
        <w:p w14:paraId="77822661" w14:textId="77777777" w:rsidR="00242DE9" w:rsidRPr="005226FB" w:rsidRDefault="00242DE9" w:rsidP="00F13777">
          <w:pPr>
            <w:pStyle w:val="Header"/>
          </w:pPr>
          <w:r w:rsidRPr="005226FB">
            <w:t>Document Number</w:t>
          </w:r>
        </w:p>
      </w:tc>
      <w:tc>
        <w:tcPr>
          <w:tcW w:w="2353" w:type="dxa"/>
        </w:tcPr>
        <w:p w14:paraId="57073ECA" w14:textId="77777777" w:rsidR="00242DE9" w:rsidRPr="005226FB" w:rsidRDefault="004159C9" w:rsidP="00F13777">
          <w:pPr>
            <w:pStyle w:val="Header"/>
          </w:pPr>
          <w:fldSimple w:instr=" DOCPROPERTY &quot;MXName&quot;  \* MERGEFORMAT ">
            <w:r w:rsidR="00467AAE">
              <w:t>ESS-0134533</w:t>
            </w:r>
          </w:fldSimple>
        </w:p>
      </w:tc>
    </w:tr>
    <w:tr w:rsidR="00242DE9" w14:paraId="75029722" w14:textId="77777777" w:rsidTr="00F13777">
      <w:trPr>
        <w:trHeight w:val="196"/>
      </w:trPr>
      <w:tc>
        <w:tcPr>
          <w:tcW w:w="5070" w:type="dxa"/>
          <w:vMerge/>
        </w:tcPr>
        <w:p w14:paraId="4FFD4B4F" w14:textId="77777777" w:rsidR="00242DE9" w:rsidRDefault="00242DE9" w:rsidP="00F13777">
          <w:pPr>
            <w:pStyle w:val="Header"/>
          </w:pPr>
        </w:p>
      </w:tc>
      <w:tc>
        <w:tcPr>
          <w:tcW w:w="1559" w:type="dxa"/>
        </w:tcPr>
        <w:p w14:paraId="433EF9E1" w14:textId="77777777" w:rsidR="00242DE9" w:rsidRPr="005226FB" w:rsidRDefault="00242DE9" w:rsidP="00F13777">
          <w:pPr>
            <w:pStyle w:val="Header"/>
          </w:pPr>
          <w:r w:rsidRPr="005226FB">
            <w:t>Date</w:t>
          </w:r>
        </w:p>
      </w:tc>
      <w:tc>
        <w:tcPr>
          <w:tcW w:w="2353" w:type="dxa"/>
        </w:tcPr>
        <w:p w14:paraId="620500F5" w14:textId="77777777" w:rsidR="00242DE9" w:rsidRPr="005226FB" w:rsidRDefault="004159C9" w:rsidP="00F13777">
          <w:pPr>
            <w:pStyle w:val="Header"/>
          </w:pPr>
          <w:fldSimple w:instr=" DOCPROPERTY &quot;MXPrinted Date&quot;  \* MERGEFORMAT ">
            <w:r w:rsidR="00467AAE">
              <w:t>Sep 8, 2017</w:t>
            </w:r>
          </w:fldSimple>
        </w:p>
      </w:tc>
    </w:tr>
    <w:tr w:rsidR="00242DE9" w14:paraId="0009D5B2" w14:textId="77777777" w:rsidTr="00F13777">
      <w:trPr>
        <w:trHeight w:val="196"/>
      </w:trPr>
      <w:tc>
        <w:tcPr>
          <w:tcW w:w="5070" w:type="dxa"/>
          <w:vMerge/>
        </w:tcPr>
        <w:p w14:paraId="7F6CF546" w14:textId="77777777" w:rsidR="00242DE9" w:rsidRDefault="00242DE9" w:rsidP="00F13777">
          <w:pPr>
            <w:pStyle w:val="Header"/>
          </w:pPr>
        </w:p>
      </w:tc>
      <w:tc>
        <w:tcPr>
          <w:tcW w:w="1559" w:type="dxa"/>
        </w:tcPr>
        <w:p w14:paraId="120A7D70" w14:textId="77777777" w:rsidR="00242DE9" w:rsidRPr="005226FB" w:rsidRDefault="00242DE9" w:rsidP="00F13777">
          <w:pPr>
            <w:pStyle w:val="Header"/>
          </w:pPr>
          <w:r w:rsidRPr="005226FB">
            <w:t>Revision</w:t>
          </w:r>
        </w:p>
      </w:tc>
      <w:tc>
        <w:tcPr>
          <w:tcW w:w="2353" w:type="dxa"/>
        </w:tcPr>
        <w:p w14:paraId="377AE0AB" w14:textId="77777777" w:rsidR="00242DE9" w:rsidRPr="005226FB" w:rsidRDefault="004159C9" w:rsidP="00F13777">
          <w:pPr>
            <w:pStyle w:val="Header"/>
          </w:pPr>
          <w:fldSimple w:instr=" DOCPROPERTY &quot;MXRevision&quot;  \* MERGEFORMAT ">
            <w:r w:rsidR="00467AAE">
              <w:t>1</w:t>
            </w:r>
          </w:fldSimple>
          <w:r w:rsidR="00242DE9">
            <w:t xml:space="preserve"> </w:t>
          </w:r>
          <w:fldSimple w:instr=" DOCPROPERTY &quot;MXPrinted Version&quot;  \* MERGEFORMAT ">
            <w:r w:rsidR="00467AAE">
              <w:t>(4)</w:t>
            </w:r>
          </w:fldSimple>
        </w:p>
      </w:tc>
    </w:tr>
    <w:tr w:rsidR="00242DE9" w14:paraId="710D26EE" w14:textId="77777777" w:rsidTr="00F13777">
      <w:trPr>
        <w:trHeight w:val="196"/>
      </w:trPr>
      <w:tc>
        <w:tcPr>
          <w:tcW w:w="5070" w:type="dxa"/>
          <w:vMerge/>
        </w:tcPr>
        <w:p w14:paraId="1457AB6A" w14:textId="77777777" w:rsidR="00242DE9" w:rsidRDefault="00242DE9" w:rsidP="00F13777">
          <w:pPr>
            <w:pStyle w:val="Header"/>
          </w:pPr>
        </w:p>
      </w:tc>
      <w:tc>
        <w:tcPr>
          <w:tcW w:w="1559" w:type="dxa"/>
        </w:tcPr>
        <w:p w14:paraId="0257B943" w14:textId="77777777" w:rsidR="00242DE9" w:rsidRPr="005226FB" w:rsidRDefault="00242DE9" w:rsidP="00F13777">
          <w:pPr>
            <w:pStyle w:val="Header"/>
          </w:pPr>
          <w:r w:rsidRPr="005226FB">
            <w:t>State</w:t>
          </w:r>
        </w:p>
      </w:tc>
      <w:tc>
        <w:tcPr>
          <w:tcW w:w="2353" w:type="dxa"/>
        </w:tcPr>
        <w:p w14:paraId="7A6ADF80" w14:textId="77777777" w:rsidR="00242DE9" w:rsidRPr="005226FB" w:rsidRDefault="004159C9" w:rsidP="00F13777">
          <w:pPr>
            <w:pStyle w:val="Header"/>
          </w:pPr>
          <w:fldSimple w:instr=" DOCPROPERTY &quot;MXCurrent&quot;  \* MERGEFORMAT ">
            <w:r w:rsidR="00467AAE">
              <w:t>Preliminary</w:t>
            </w:r>
          </w:fldSimple>
        </w:p>
      </w:tc>
    </w:tr>
    <w:tr w:rsidR="00242DE9" w14:paraId="780C33A6" w14:textId="77777777" w:rsidTr="00F13777">
      <w:trPr>
        <w:trHeight w:val="196"/>
      </w:trPr>
      <w:tc>
        <w:tcPr>
          <w:tcW w:w="5070" w:type="dxa"/>
          <w:vMerge/>
        </w:tcPr>
        <w:p w14:paraId="209B79B7" w14:textId="77777777" w:rsidR="00242DE9" w:rsidRDefault="00242DE9" w:rsidP="00F13777">
          <w:pPr>
            <w:pStyle w:val="Header"/>
          </w:pPr>
        </w:p>
      </w:tc>
      <w:tc>
        <w:tcPr>
          <w:tcW w:w="1559" w:type="dxa"/>
        </w:tcPr>
        <w:p w14:paraId="079921B3" w14:textId="77777777" w:rsidR="00242DE9" w:rsidRPr="005226FB" w:rsidRDefault="00242DE9" w:rsidP="00F13777">
          <w:pPr>
            <w:pStyle w:val="Header"/>
          </w:pPr>
          <w:r>
            <w:t>Confidentiality Level</w:t>
          </w:r>
        </w:p>
      </w:tc>
      <w:tc>
        <w:tcPr>
          <w:tcW w:w="2353" w:type="dxa"/>
        </w:tcPr>
        <w:p w14:paraId="18AE76B1" w14:textId="6E2FBBC8" w:rsidR="00242DE9" w:rsidRPr="005226FB" w:rsidRDefault="00242DE9" w:rsidP="00F13777">
          <w:pPr>
            <w:pStyle w:val="Header"/>
          </w:pPr>
          <w:r w:rsidRPr="009A00BB">
            <w:fldChar w:fldCharType="begin"/>
          </w:r>
          <w:r w:rsidRPr="009A00BB">
            <w:instrText xml:space="preserve"> IF </w:instrText>
          </w:r>
          <w:fldSimple w:instr=" DOCPROPERTY &quot;MXConfidentiality&quot;  \* MERGEFORMAT ">
            <w:r w:rsidR="00467AAE">
              <w:instrText>Internal</w:instrText>
            </w:r>
          </w:fldSimple>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fldSimple w:instr=" DOCPROPERTY &quot;MXConfidentiality&quot; \* MERGEFORMAT ">
            <w:r w:rsidR="00467AAE">
              <w:instrText>Internal</w:instrText>
            </w:r>
          </w:fldSimple>
          <w:r w:rsidRPr="009A00BB">
            <w:instrText xml:space="preserve"> </w:instrText>
          </w:r>
          <w:r w:rsidRPr="009A00BB">
            <w:fldChar w:fldCharType="separate"/>
          </w:r>
          <w:r w:rsidR="00467AAE">
            <w:rPr>
              <w:noProof/>
            </w:rPr>
            <w:t>Internal</w:t>
          </w:r>
          <w:r w:rsidRPr="009A00BB">
            <w:fldChar w:fldCharType="end"/>
          </w:r>
        </w:p>
      </w:tc>
    </w:tr>
    <w:tr w:rsidR="00242DE9" w14:paraId="026A9237" w14:textId="77777777" w:rsidTr="00F13777">
      <w:trPr>
        <w:trHeight w:val="196"/>
      </w:trPr>
      <w:tc>
        <w:tcPr>
          <w:tcW w:w="5070" w:type="dxa"/>
          <w:vMerge/>
        </w:tcPr>
        <w:p w14:paraId="07264EDC" w14:textId="77777777" w:rsidR="00242DE9" w:rsidRDefault="00242DE9" w:rsidP="00F13777">
          <w:pPr>
            <w:pStyle w:val="Header"/>
          </w:pPr>
        </w:p>
      </w:tc>
      <w:tc>
        <w:tcPr>
          <w:tcW w:w="1559" w:type="dxa"/>
        </w:tcPr>
        <w:p w14:paraId="63AC0298" w14:textId="77777777" w:rsidR="00242DE9" w:rsidRPr="005226FB" w:rsidRDefault="00242DE9" w:rsidP="00F13777">
          <w:pPr>
            <w:pStyle w:val="Header"/>
          </w:pPr>
          <w:r>
            <w:t>Page</w:t>
          </w:r>
        </w:p>
      </w:tc>
      <w:tc>
        <w:tcPr>
          <w:tcW w:w="2353" w:type="dxa"/>
        </w:tcPr>
        <w:p w14:paraId="58EC75A8" w14:textId="77777777" w:rsidR="00242DE9" w:rsidRPr="005226FB" w:rsidRDefault="00242DE9" w:rsidP="00F13777">
          <w:pPr>
            <w:pStyle w:val="Header"/>
          </w:pPr>
          <w:r>
            <w:rPr>
              <w:rStyle w:val="PageNumber"/>
            </w:rPr>
            <w:fldChar w:fldCharType="begin"/>
          </w:r>
          <w:r>
            <w:rPr>
              <w:rStyle w:val="PageNumber"/>
            </w:rPr>
            <w:instrText xml:space="preserve"> PAGE </w:instrText>
          </w:r>
          <w:r>
            <w:rPr>
              <w:rStyle w:val="PageNumber"/>
            </w:rPr>
            <w:fldChar w:fldCharType="separate"/>
          </w:r>
          <w:r w:rsidR="00F60183">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F60183">
            <w:rPr>
              <w:rStyle w:val="PageNumber"/>
              <w:noProof/>
            </w:rPr>
            <w:t>6</w:t>
          </w:r>
          <w:r>
            <w:rPr>
              <w:rStyle w:val="PageNumber"/>
            </w:rPr>
            <w:fldChar w:fldCharType="end"/>
          </w:r>
          <w:r>
            <w:rPr>
              <w:rStyle w:val="PageNumber"/>
            </w:rPr>
            <w:t>)</w:t>
          </w:r>
        </w:p>
      </w:tc>
    </w:tr>
  </w:tbl>
  <w:p w14:paraId="4D77F5D6" w14:textId="77777777" w:rsidR="00242DE9" w:rsidRPr="007E6D3A" w:rsidRDefault="00242DE9" w:rsidP="007E6D3A">
    <w:pPr>
      <w:spacing w:after="0" w:line="240" w:lineRule="auto"/>
      <w:rPr>
        <w:sz w:val="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E5070A"/>
    <w:multiLevelType w:val="multilevel"/>
    <w:tmpl w:val="32BE155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AF6763"/>
    <w:multiLevelType w:val="hybridMultilevel"/>
    <w:tmpl w:val="1CFEC458"/>
    <w:lvl w:ilvl="0" w:tplc="88F6C758">
      <w:start w:val="1"/>
      <w:numFmt w:val="decimal"/>
      <w:lvlText w:val="[%1]"/>
      <w:lvlJc w:val="left"/>
      <w:pPr>
        <w:ind w:left="998" w:hanging="9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F2F5F"/>
    <w:multiLevelType w:val="hybridMultilevel"/>
    <w:tmpl w:val="AFCA8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06CFF"/>
    <w:multiLevelType w:val="hybridMultilevel"/>
    <w:tmpl w:val="EA681D1A"/>
    <w:lvl w:ilvl="0" w:tplc="C434A2FA">
      <w:start w:val="1"/>
      <w:numFmt w:val="bullet"/>
      <w:pStyle w:val="ESS-ListSubsidiary"/>
      <w:lvlText w:val="­"/>
      <w:lvlJc w:val="left"/>
      <w:pPr>
        <w:ind w:left="135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63C54"/>
    <w:multiLevelType w:val="hybridMultilevel"/>
    <w:tmpl w:val="DD44378C"/>
    <w:lvl w:ilvl="0" w:tplc="04090001">
      <w:start w:val="1"/>
      <w:numFmt w:val="bullet"/>
      <w:lvlText w:val=""/>
      <w:lvlJc w:val="left"/>
      <w:pPr>
        <w:ind w:left="720" w:hanging="360"/>
      </w:pPr>
      <w:rPr>
        <w:rFonts w:ascii="Symbol" w:hAnsi="Symbol" w:hint="default"/>
      </w:rPr>
    </w:lvl>
    <w:lvl w:ilvl="1" w:tplc="AC7E02A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B68BA"/>
    <w:multiLevelType w:val="hybridMultilevel"/>
    <w:tmpl w:val="31BC53D6"/>
    <w:lvl w:ilvl="0" w:tplc="B3126576">
      <w:start w:val="1"/>
      <w:numFmt w:val="bullet"/>
      <w:pStyle w:val="ESS-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32A67"/>
    <w:multiLevelType w:val="hybridMultilevel"/>
    <w:tmpl w:val="1B54E202"/>
    <w:lvl w:ilvl="0" w:tplc="0BE25800">
      <w:start w:val="1"/>
      <w:numFmt w:val="decimal"/>
      <w:pStyle w:val="ESS-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05ABA"/>
    <w:multiLevelType w:val="hybridMultilevel"/>
    <w:tmpl w:val="708C4684"/>
    <w:lvl w:ilvl="0" w:tplc="519C3D50">
      <w:start w:val="1"/>
      <w:numFmt w:val="lowerLetter"/>
      <w:pStyle w:val="ESS-Lista"/>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96DB0"/>
    <w:multiLevelType w:val="hybridMultilevel"/>
    <w:tmpl w:val="A6AA4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B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09119E"/>
    <w:multiLevelType w:val="hybridMultilevel"/>
    <w:tmpl w:val="1B421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60BBE"/>
    <w:multiLevelType w:val="hybridMultilevel"/>
    <w:tmpl w:val="632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4864DF"/>
    <w:multiLevelType w:val="hybridMultilevel"/>
    <w:tmpl w:val="BF325C30"/>
    <w:lvl w:ilvl="0" w:tplc="5B82282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9"/>
  </w:num>
  <w:num w:numId="5">
    <w:abstractNumId w:val="14"/>
  </w:num>
  <w:num w:numId="6">
    <w:abstractNumId w:val="10"/>
  </w:num>
  <w:num w:numId="7">
    <w:abstractNumId w:val="4"/>
  </w:num>
  <w:num w:numId="8">
    <w:abstractNumId w:val="4"/>
    <w:lvlOverride w:ilvl="0">
      <w:lvl w:ilvl="0" w:tplc="0409001B">
        <w:start w:val="1"/>
        <w:numFmt w:val="low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7"/>
  </w:num>
  <w:num w:numId="10">
    <w:abstractNumId w:val="13"/>
  </w:num>
  <w:num w:numId="11">
    <w:abstractNumId w:val="6"/>
  </w:num>
  <w:num w:numId="12">
    <w:abstractNumId w:val="5"/>
  </w:num>
  <w:num w:numId="13">
    <w:abstractNumId w:val="12"/>
  </w:num>
  <w:num w:numId="14">
    <w:abstractNumId w:val="8"/>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32"/>
    <w:rsid w:val="00005A10"/>
    <w:rsid w:val="00011DFD"/>
    <w:rsid w:val="00016E88"/>
    <w:rsid w:val="0001772D"/>
    <w:rsid w:val="00035994"/>
    <w:rsid w:val="000473C0"/>
    <w:rsid w:val="000477DC"/>
    <w:rsid w:val="00054F1B"/>
    <w:rsid w:val="000555BD"/>
    <w:rsid w:val="000677CD"/>
    <w:rsid w:val="000753F4"/>
    <w:rsid w:val="000858CE"/>
    <w:rsid w:val="000A273C"/>
    <w:rsid w:val="000C41A3"/>
    <w:rsid w:val="000C5AF2"/>
    <w:rsid w:val="000D690C"/>
    <w:rsid w:val="000E5F28"/>
    <w:rsid w:val="000F5F32"/>
    <w:rsid w:val="00106B39"/>
    <w:rsid w:val="00114812"/>
    <w:rsid w:val="001306FF"/>
    <w:rsid w:val="001362D8"/>
    <w:rsid w:val="00136CE7"/>
    <w:rsid w:val="001378DC"/>
    <w:rsid w:val="00146218"/>
    <w:rsid w:val="00147202"/>
    <w:rsid w:val="00147315"/>
    <w:rsid w:val="00157EEC"/>
    <w:rsid w:val="001607AF"/>
    <w:rsid w:val="00160EE2"/>
    <w:rsid w:val="00173F47"/>
    <w:rsid w:val="0017476C"/>
    <w:rsid w:val="00175C1A"/>
    <w:rsid w:val="0017738E"/>
    <w:rsid w:val="00185241"/>
    <w:rsid w:val="00186717"/>
    <w:rsid w:val="00186FA9"/>
    <w:rsid w:val="00190F62"/>
    <w:rsid w:val="001931B2"/>
    <w:rsid w:val="00197F94"/>
    <w:rsid w:val="001A77D4"/>
    <w:rsid w:val="001C4ABA"/>
    <w:rsid w:val="001C54CA"/>
    <w:rsid w:val="001C5E21"/>
    <w:rsid w:val="001D05EE"/>
    <w:rsid w:val="001D4E9D"/>
    <w:rsid w:val="001E2422"/>
    <w:rsid w:val="001E3F3C"/>
    <w:rsid w:val="001E468D"/>
    <w:rsid w:val="001E6EDA"/>
    <w:rsid w:val="001F18C6"/>
    <w:rsid w:val="001F3FDE"/>
    <w:rsid w:val="001F7F5B"/>
    <w:rsid w:val="00201A94"/>
    <w:rsid w:val="002139A6"/>
    <w:rsid w:val="00217411"/>
    <w:rsid w:val="0022446E"/>
    <w:rsid w:val="0023025B"/>
    <w:rsid w:val="002304E2"/>
    <w:rsid w:val="0023114C"/>
    <w:rsid w:val="00235F4E"/>
    <w:rsid w:val="00242DE9"/>
    <w:rsid w:val="00243286"/>
    <w:rsid w:val="00245213"/>
    <w:rsid w:val="00252975"/>
    <w:rsid w:val="00262F71"/>
    <w:rsid w:val="00264B87"/>
    <w:rsid w:val="00285F2B"/>
    <w:rsid w:val="002963A2"/>
    <w:rsid w:val="002A0F4D"/>
    <w:rsid w:val="002A61F0"/>
    <w:rsid w:val="002B2C7F"/>
    <w:rsid w:val="002B3846"/>
    <w:rsid w:val="002C0912"/>
    <w:rsid w:val="002C5728"/>
    <w:rsid w:val="002D2343"/>
    <w:rsid w:val="002D5310"/>
    <w:rsid w:val="002D61CC"/>
    <w:rsid w:val="002E5803"/>
    <w:rsid w:val="002F0113"/>
    <w:rsid w:val="002F076C"/>
    <w:rsid w:val="002F7E58"/>
    <w:rsid w:val="00303C37"/>
    <w:rsid w:val="00304230"/>
    <w:rsid w:val="003046DF"/>
    <w:rsid w:val="00306A8F"/>
    <w:rsid w:val="003102AF"/>
    <w:rsid w:val="00315257"/>
    <w:rsid w:val="0032608D"/>
    <w:rsid w:val="00332078"/>
    <w:rsid w:val="003348F7"/>
    <w:rsid w:val="00335112"/>
    <w:rsid w:val="0034671F"/>
    <w:rsid w:val="00347453"/>
    <w:rsid w:val="00347BE6"/>
    <w:rsid w:val="003538B3"/>
    <w:rsid w:val="00355B88"/>
    <w:rsid w:val="00357D0D"/>
    <w:rsid w:val="0036298A"/>
    <w:rsid w:val="00371E06"/>
    <w:rsid w:val="00386554"/>
    <w:rsid w:val="00391C1D"/>
    <w:rsid w:val="003955A3"/>
    <w:rsid w:val="00397071"/>
    <w:rsid w:val="003A7548"/>
    <w:rsid w:val="003B2EBF"/>
    <w:rsid w:val="003C57FC"/>
    <w:rsid w:val="003D60CF"/>
    <w:rsid w:val="003D6AF2"/>
    <w:rsid w:val="003F1CAB"/>
    <w:rsid w:val="004007B3"/>
    <w:rsid w:val="00402F5A"/>
    <w:rsid w:val="004050EA"/>
    <w:rsid w:val="004075C7"/>
    <w:rsid w:val="00414B5B"/>
    <w:rsid w:val="004159C9"/>
    <w:rsid w:val="00420E7C"/>
    <w:rsid w:val="004238D0"/>
    <w:rsid w:val="00426CE4"/>
    <w:rsid w:val="00427752"/>
    <w:rsid w:val="004328ED"/>
    <w:rsid w:val="0043472B"/>
    <w:rsid w:val="004369D4"/>
    <w:rsid w:val="004370D4"/>
    <w:rsid w:val="00443F7A"/>
    <w:rsid w:val="004463F5"/>
    <w:rsid w:val="0045462D"/>
    <w:rsid w:val="0046105F"/>
    <w:rsid w:val="00467AAE"/>
    <w:rsid w:val="004773BD"/>
    <w:rsid w:val="0048121C"/>
    <w:rsid w:val="00487985"/>
    <w:rsid w:val="00490A57"/>
    <w:rsid w:val="004A2CE4"/>
    <w:rsid w:val="004B1D92"/>
    <w:rsid w:val="004C432A"/>
    <w:rsid w:val="004C469D"/>
    <w:rsid w:val="004C4AA1"/>
    <w:rsid w:val="004C4B07"/>
    <w:rsid w:val="004D3F27"/>
    <w:rsid w:val="004E5FCE"/>
    <w:rsid w:val="004E6E04"/>
    <w:rsid w:val="004F0B9D"/>
    <w:rsid w:val="004F4C8F"/>
    <w:rsid w:val="004F739A"/>
    <w:rsid w:val="00501132"/>
    <w:rsid w:val="00506A8F"/>
    <w:rsid w:val="00512DDD"/>
    <w:rsid w:val="005226FB"/>
    <w:rsid w:val="00541742"/>
    <w:rsid w:val="00542EDB"/>
    <w:rsid w:val="005506DD"/>
    <w:rsid w:val="00555FAF"/>
    <w:rsid w:val="005663FE"/>
    <w:rsid w:val="00573FB4"/>
    <w:rsid w:val="005765E1"/>
    <w:rsid w:val="00577DEF"/>
    <w:rsid w:val="00580046"/>
    <w:rsid w:val="00590145"/>
    <w:rsid w:val="00595610"/>
    <w:rsid w:val="005A28E7"/>
    <w:rsid w:val="005A70F8"/>
    <w:rsid w:val="005B3269"/>
    <w:rsid w:val="005B773A"/>
    <w:rsid w:val="005D7034"/>
    <w:rsid w:val="005E0EE1"/>
    <w:rsid w:val="005E1F83"/>
    <w:rsid w:val="005E30BC"/>
    <w:rsid w:val="005E3756"/>
    <w:rsid w:val="005F6F5A"/>
    <w:rsid w:val="00601A6B"/>
    <w:rsid w:val="00606A30"/>
    <w:rsid w:val="00612DD8"/>
    <w:rsid w:val="00614574"/>
    <w:rsid w:val="00622886"/>
    <w:rsid w:val="00623D42"/>
    <w:rsid w:val="00641873"/>
    <w:rsid w:val="00642197"/>
    <w:rsid w:val="00642EDE"/>
    <w:rsid w:val="006502E3"/>
    <w:rsid w:val="00651807"/>
    <w:rsid w:val="00653B9F"/>
    <w:rsid w:val="00654066"/>
    <w:rsid w:val="00657C3E"/>
    <w:rsid w:val="00674519"/>
    <w:rsid w:val="0068101C"/>
    <w:rsid w:val="00697DD3"/>
    <w:rsid w:val="006A58AE"/>
    <w:rsid w:val="006A5BC0"/>
    <w:rsid w:val="006A5D49"/>
    <w:rsid w:val="006B7CEA"/>
    <w:rsid w:val="006C57A2"/>
    <w:rsid w:val="006C7F31"/>
    <w:rsid w:val="006D1AF9"/>
    <w:rsid w:val="006D282D"/>
    <w:rsid w:val="006E5BA3"/>
    <w:rsid w:val="006F3874"/>
    <w:rsid w:val="006F5279"/>
    <w:rsid w:val="006F7BD6"/>
    <w:rsid w:val="00700E1E"/>
    <w:rsid w:val="00711542"/>
    <w:rsid w:val="00714828"/>
    <w:rsid w:val="00720902"/>
    <w:rsid w:val="00722FE4"/>
    <w:rsid w:val="00725044"/>
    <w:rsid w:val="007254F4"/>
    <w:rsid w:val="007262DB"/>
    <w:rsid w:val="00732063"/>
    <w:rsid w:val="00732415"/>
    <w:rsid w:val="007406E1"/>
    <w:rsid w:val="007635AC"/>
    <w:rsid w:val="00767F48"/>
    <w:rsid w:val="00782527"/>
    <w:rsid w:val="007868DF"/>
    <w:rsid w:val="00787D14"/>
    <w:rsid w:val="00791B26"/>
    <w:rsid w:val="007974E7"/>
    <w:rsid w:val="007A0F21"/>
    <w:rsid w:val="007A42D7"/>
    <w:rsid w:val="007B2408"/>
    <w:rsid w:val="007B401F"/>
    <w:rsid w:val="007B662E"/>
    <w:rsid w:val="007C2084"/>
    <w:rsid w:val="007D4383"/>
    <w:rsid w:val="007E1EC1"/>
    <w:rsid w:val="007E5825"/>
    <w:rsid w:val="007E5B32"/>
    <w:rsid w:val="007E6D01"/>
    <w:rsid w:val="007E6D3A"/>
    <w:rsid w:val="007F1A86"/>
    <w:rsid w:val="008145EF"/>
    <w:rsid w:val="00820D0F"/>
    <w:rsid w:val="008228B4"/>
    <w:rsid w:val="00831DA9"/>
    <w:rsid w:val="00833B66"/>
    <w:rsid w:val="00853E76"/>
    <w:rsid w:val="00854530"/>
    <w:rsid w:val="00856794"/>
    <w:rsid w:val="008630DB"/>
    <w:rsid w:val="00880962"/>
    <w:rsid w:val="0088515A"/>
    <w:rsid w:val="00885F2F"/>
    <w:rsid w:val="008906EE"/>
    <w:rsid w:val="00893822"/>
    <w:rsid w:val="008A536D"/>
    <w:rsid w:val="008B31A1"/>
    <w:rsid w:val="008C1CF5"/>
    <w:rsid w:val="008D25BA"/>
    <w:rsid w:val="008E3533"/>
    <w:rsid w:val="0090360E"/>
    <w:rsid w:val="00903D9C"/>
    <w:rsid w:val="0090693E"/>
    <w:rsid w:val="00912352"/>
    <w:rsid w:val="00913539"/>
    <w:rsid w:val="00920923"/>
    <w:rsid w:val="00933FD7"/>
    <w:rsid w:val="00934121"/>
    <w:rsid w:val="009352C6"/>
    <w:rsid w:val="009413B2"/>
    <w:rsid w:val="00953356"/>
    <w:rsid w:val="00955DFC"/>
    <w:rsid w:val="0096286A"/>
    <w:rsid w:val="00963CC6"/>
    <w:rsid w:val="00967E2F"/>
    <w:rsid w:val="00970530"/>
    <w:rsid w:val="009755CA"/>
    <w:rsid w:val="009811E9"/>
    <w:rsid w:val="00982FA1"/>
    <w:rsid w:val="00985131"/>
    <w:rsid w:val="00997AAA"/>
    <w:rsid w:val="009A1095"/>
    <w:rsid w:val="009B1CC3"/>
    <w:rsid w:val="009B31B6"/>
    <w:rsid w:val="009B4D06"/>
    <w:rsid w:val="009B6528"/>
    <w:rsid w:val="009B6DAB"/>
    <w:rsid w:val="009C6050"/>
    <w:rsid w:val="009C6F7F"/>
    <w:rsid w:val="009D052C"/>
    <w:rsid w:val="009E3C83"/>
    <w:rsid w:val="009F2C0F"/>
    <w:rsid w:val="00A009A5"/>
    <w:rsid w:val="00A06851"/>
    <w:rsid w:val="00A24C8F"/>
    <w:rsid w:val="00A42B05"/>
    <w:rsid w:val="00A50DBF"/>
    <w:rsid w:val="00A537AF"/>
    <w:rsid w:val="00A554C0"/>
    <w:rsid w:val="00A5653A"/>
    <w:rsid w:val="00A60016"/>
    <w:rsid w:val="00A64411"/>
    <w:rsid w:val="00A75EB8"/>
    <w:rsid w:val="00A808D3"/>
    <w:rsid w:val="00A86EE6"/>
    <w:rsid w:val="00A90DE8"/>
    <w:rsid w:val="00A95EF2"/>
    <w:rsid w:val="00AA21DF"/>
    <w:rsid w:val="00AA5B2F"/>
    <w:rsid w:val="00AB2A99"/>
    <w:rsid w:val="00AD1D1A"/>
    <w:rsid w:val="00AD489F"/>
    <w:rsid w:val="00AE1DDA"/>
    <w:rsid w:val="00AE3DF8"/>
    <w:rsid w:val="00AE64E6"/>
    <w:rsid w:val="00AF12BA"/>
    <w:rsid w:val="00AF738B"/>
    <w:rsid w:val="00B0075E"/>
    <w:rsid w:val="00B11F2E"/>
    <w:rsid w:val="00B135B4"/>
    <w:rsid w:val="00B148F2"/>
    <w:rsid w:val="00B26C7E"/>
    <w:rsid w:val="00B32E85"/>
    <w:rsid w:val="00B334F7"/>
    <w:rsid w:val="00B43D6F"/>
    <w:rsid w:val="00B4417C"/>
    <w:rsid w:val="00B55C5C"/>
    <w:rsid w:val="00B6279E"/>
    <w:rsid w:val="00B74BD6"/>
    <w:rsid w:val="00B83C46"/>
    <w:rsid w:val="00B85CD4"/>
    <w:rsid w:val="00B919DD"/>
    <w:rsid w:val="00B932E5"/>
    <w:rsid w:val="00B943D0"/>
    <w:rsid w:val="00B95C16"/>
    <w:rsid w:val="00BD1D8E"/>
    <w:rsid w:val="00BE142A"/>
    <w:rsid w:val="00BE32A3"/>
    <w:rsid w:val="00BE6CE6"/>
    <w:rsid w:val="00C03670"/>
    <w:rsid w:val="00C04031"/>
    <w:rsid w:val="00C100DE"/>
    <w:rsid w:val="00C11E3A"/>
    <w:rsid w:val="00C163D8"/>
    <w:rsid w:val="00C24F98"/>
    <w:rsid w:val="00C33064"/>
    <w:rsid w:val="00C340CC"/>
    <w:rsid w:val="00C421C3"/>
    <w:rsid w:val="00C50CA3"/>
    <w:rsid w:val="00C5152B"/>
    <w:rsid w:val="00C529E8"/>
    <w:rsid w:val="00C573F4"/>
    <w:rsid w:val="00C715F2"/>
    <w:rsid w:val="00C75D32"/>
    <w:rsid w:val="00C7671C"/>
    <w:rsid w:val="00C800AC"/>
    <w:rsid w:val="00C8294B"/>
    <w:rsid w:val="00C874DC"/>
    <w:rsid w:val="00C93503"/>
    <w:rsid w:val="00CA42EF"/>
    <w:rsid w:val="00CA4CC3"/>
    <w:rsid w:val="00CA50AD"/>
    <w:rsid w:val="00CB0EF1"/>
    <w:rsid w:val="00CB4DA4"/>
    <w:rsid w:val="00CC775B"/>
    <w:rsid w:val="00CE0054"/>
    <w:rsid w:val="00CE05BB"/>
    <w:rsid w:val="00CE1793"/>
    <w:rsid w:val="00CF0851"/>
    <w:rsid w:val="00D14FF3"/>
    <w:rsid w:val="00D2024E"/>
    <w:rsid w:val="00D20666"/>
    <w:rsid w:val="00D41104"/>
    <w:rsid w:val="00D44FF5"/>
    <w:rsid w:val="00D53210"/>
    <w:rsid w:val="00D54213"/>
    <w:rsid w:val="00D614C9"/>
    <w:rsid w:val="00D65007"/>
    <w:rsid w:val="00D73A1E"/>
    <w:rsid w:val="00D84110"/>
    <w:rsid w:val="00D84B5E"/>
    <w:rsid w:val="00D87424"/>
    <w:rsid w:val="00D9584B"/>
    <w:rsid w:val="00DA238C"/>
    <w:rsid w:val="00DA3CB6"/>
    <w:rsid w:val="00DC593C"/>
    <w:rsid w:val="00DC61D0"/>
    <w:rsid w:val="00DD16D4"/>
    <w:rsid w:val="00DD4BB8"/>
    <w:rsid w:val="00DE0391"/>
    <w:rsid w:val="00DF1529"/>
    <w:rsid w:val="00E00AAA"/>
    <w:rsid w:val="00E05F0C"/>
    <w:rsid w:val="00E136AE"/>
    <w:rsid w:val="00E142D5"/>
    <w:rsid w:val="00E1676D"/>
    <w:rsid w:val="00E16A64"/>
    <w:rsid w:val="00E2600C"/>
    <w:rsid w:val="00E356B2"/>
    <w:rsid w:val="00E36D78"/>
    <w:rsid w:val="00E37B79"/>
    <w:rsid w:val="00E4341F"/>
    <w:rsid w:val="00E46913"/>
    <w:rsid w:val="00E5291F"/>
    <w:rsid w:val="00E54A1F"/>
    <w:rsid w:val="00E738ED"/>
    <w:rsid w:val="00E76186"/>
    <w:rsid w:val="00E779A7"/>
    <w:rsid w:val="00E80715"/>
    <w:rsid w:val="00E81101"/>
    <w:rsid w:val="00E83109"/>
    <w:rsid w:val="00E83BC1"/>
    <w:rsid w:val="00E86F67"/>
    <w:rsid w:val="00E9381A"/>
    <w:rsid w:val="00EA12A9"/>
    <w:rsid w:val="00EA6960"/>
    <w:rsid w:val="00EA6979"/>
    <w:rsid w:val="00EB0ADC"/>
    <w:rsid w:val="00EB1FA8"/>
    <w:rsid w:val="00EB261F"/>
    <w:rsid w:val="00EE03D9"/>
    <w:rsid w:val="00EE4AB7"/>
    <w:rsid w:val="00F0117D"/>
    <w:rsid w:val="00F03A22"/>
    <w:rsid w:val="00F13777"/>
    <w:rsid w:val="00F23AAC"/>
    <w:rsid w:val="00F245C1"/>
    <w:rsid w:val="00F3096F"/>
    <w:rsid w:val="00F33E02"/>
    <w:rsid w:val="00F50567"/>
    <w:rsid w:val="00F60183"/>
    <w:rsid w:val="00F66C38"/>
    <w:rsid w:val="00F67CD8"/>
    <w:rsid w:val="00F70F27"/>
    <w:rsid w:val="00F7662B"/>
    <w:rsid w:val="00F82C38"/>
    <w:rsid w:val="00F9152F"/>
    <w:rsid w:val="00FA0700"/>
    <w:rsid w:val="00FB3411"/>
    <w:rsid w:val="00FB4FD0"/>
    <w:rsid w:val="00FC3FEF"/>
    <w:rsid w:val="00FC41F2"/>
    <w:rsid w:val="00FC77A6"/>
    <w:rsid w:val="00FF04CF"/>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00C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29" w:qFormat="1"/>
    <w:lsdException w:name="heading 2" w:locked="0" w:semiHidden="1" w:uiPriority="29" w:unhideWhenUsed="1" w:qFormat="1"/>
    <w:lsdException w:name="heading 3" w:locked="0" w:semiHidden="1" w:uiPriority="29" w:unhideWhenUsed="1"/>
    <w:lsdException w:name="heading 4" w:locked="0" w:semiHidden="1" w:uiPriority="29" w:unhideWhenUsed="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qFormat/>
    <w:rsid w:val="00E142D5"/>
    <w:pPr>
      <w:spacing w:after="240" w:line="280" w:lineRule="atLeast"/>
    </w:pPr>
    <w:rPr>
      <w:rFonts w:ascii="Calibri" w:hAnsi="Calibri"/>
      <w:sz w:val="24"/>
      <w:lang w:val="en-GB"/>
    </w:rPr>
  </w:style>
  <w:style w:type="paragraph" w:styleId="Heading1">
    <w:name w:val="heading 1"/>
    <w:next w:val="Normal"/>
    <w:link w:val="Heading1Char"/>
    <w:uiPriority w:val="29"/>
    <w:qFormat/>
    <w:rsid w:val="007B401F"/>
    <w:pPr>
      <w:keepNext/>
      <w:numPr>
        <w:numId w:val="2"/>
      </w:numPr>
      <w:tabs>
        <w:tab w:val="left" w:pos="992"/>
      </w:tabs>
      <w:spacing w:before="480" w:after="240" w:line="240" w:lineRule="auto"/>
      <w:ind w:left="992" w:hanging="992"/>
      <w:outlineLvl w:val="0"/>
    </w:pPr>
    <w:rPr>
      <w:rFonts w:ascii="Calibri" w:eastAsiaTheme="majorEastAsia" w:hAnsi="Calibri" w:cstheme="majorBidi"/>
      <w:b/>
      <w:bCs/>
      <w:caps/>
      <w:sz w:val="28"/>
      <w:szCs w:val="28"/>
      <w:lang w:val="en-GB"/>
    </w:rPr>
  </w:style>
  <w:style w:type="paragraph" w:styleId="Heading2">
    <w:name w:val="heading 2"/>
    <w:next w:val="Normal"/>
    <w:link w:val="Heading2Char"/>
    <w:uiPriority w:val="29"/>
    <w:qFormat/>
    <w:rsid w:val="003102AF"/>
    <w:pPr>
      <w:keepNext/>
      <w:numPr>
        <w:ilvl w:val="1"/>
        <w:numId w:val="2"/>
      </w:numPr>
      <w:tabs>
        <w:tab w:val="left" w:pos="992"/>
      </w:tabs>
      <w:spacing w:before="120" w:after="120" w:line="240" w:lineRule="auto"/>
      <w:ind w:left="992" w:hanging="992"/>
      <w:outlineLvl w:val="1"/>
    </w:pPr>
    <w:rPr>
      <w:rFonts w:ascii="Calibri" w:eastAsiaTheme="majorEastAsia" w:hAnsi="Calibri" w:cstheme="majorBidi"/>
      <w:b/>
      <w:bCs/>
      <w:sz w:val="28"/>
      <w:szCs w:val="26"/>
      <w:lang w:val="en-GB"/>
    </w:rPr>
  </w:style>
  <w:style w:type="paragraph" w:styleId="Heading3">
    <w:name w:val="heading 3"/>
    <w:next w:val="Normal"/>
    <w:link w:val="Heading3Char"/>
    <w:uiPriority w:val="29"/>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Heading4">
    <w:name w:val="heading 4"/>
    <w:next w:val="Normal"/>
    <w:link w:val="Heading4Char"/>
    <w:uiPriority w:val="29"/>
    <w:rsid w:val="003102AF"/>
    <w:pPr>
      <w:keepNext/>
      <w:numPr>
        <w:ilvl w:val="3"/>
        <w:numId w:val="2"/>
      </w:numPr>
      <w:tabs>
        <w:tab w:val="left" w:pos="992"/>
      </w:tabs>
      <w:spacing w:after="120" w:line="240" w:lineRule="auto"/>
      <w:ind w:left="992" w:hanging="992"/>
      <w:outlineLvl w:val="3"/>
    </w:pPr>
    <w:rPr>
      <w:rFonts w:ascii="Calibri" w:eastAsiaTheme="majorEastAsia" w:hAnsi="Calibri" w:cstheme="majorBidi"/>
      <w:b/>
      <w:bCs/>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E142D5"/>
    <w:rPr>
      <w:rFonts w:ascii="Calibri" w:eastAsiaTheme="majorEastAsia" w:hAnsi="Calibri" w:cstheme="majorBidi"/>
      <w:b/>
      <w:bCs/>
      <w:caps/>
      <w:sz w:val="28"/>
      <w:szCs w:val="28"/>
      <w:lang w:val="en-GB"/>
    </w:rPr>
  </w:style>
  <w:style w:type="character" w:customStyle="1" w:styleId="Heading2Char">
    <w:name w:val="Heading 2 Char"/>
    <w:basedOn w:val="DefaultParagraphFont"/>
    <w:link w:val="Heading2"/>
    <w:uiPriority w:val="29"/>
    <w:rsid w:val="00E142D5"/>
    <w:rPr>
      <w:rFonts w:ascii="Calibri" w:eastAsiaTheme="majorEastAsia" w:hAnsi="Calibri" w:cstheme="majorBidi"/>
      <w:b/>
      <w:bCs/>
      <w:sz w:val="28"/>
      <w:szCs w:val="26"/>
      <w:lang w:val="en-GB"/>
    </w:rPr>
  </w:style>
  <w:style w:type="character" w:customStyle="1" w:styleId="Heading3Char">
    <w:name w:val="Heading 3 Char"/>
    <w:basedOn w:val="DefaultParagraphFont"/>
    <w:link w:val="Heading3"/>
    <w:uiPriority w:val="29"/>
    <w:rsid w:val="00E142D5"/>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29"/>
    <w:rsid w:val="00E142D5"/>
    <w:rPr>
      <w:rFonts w:ascii="Calibri" w:eastAsiaTheme="majorEastAsia" w:hAnsi="Calibri" w:cstheme="majorBidi"/>
      <w:b/>
      <w:bCs/>
      <w:iCs/>
      <w:sz w:val="24"/>
      <w:lang w:val="en-GB"/>
    </w:rPr>
  </w:style>
  <w:style w:type="paragraph" w:customStyle="1" w:styleId="ESS-Heading1">
    <w:name w:val="ESS-Heading 1"/>
    <w:next w:val="Normal"/>
    <w:uiPriority w:val="29"/>
    <w:rsid w:val="00651807"/>
    <w:pPr>
      <w:keepNext/>
      <w:spacing w:before="480" w:after="240" w:line="240" w:lineRule="auto"/>
      <w:outlineLvl w:val="0"/>
    </w:pPr>
    <w:rPr>
      <w:rFonts w:ascii="Calibri" w:eastAsiaTheme="majorEastAsia" w:hAnsi="Calibri" w:cstheme="majorBidi"/>
      <w:b/>
      <w:bCs/>
      <w:caps/>
      <w:sz w:val="28"/>
      <w:szCs w:val="28"/>
      <w:lang w:val="en-GB"/>
    </w:rPr>
  </w:style>
  <w:style w:type="paragraph" w:customStyle="1" w:styleId="ESS-Heading2">
    <w:name w:val="ESS-Heading 2"/>
    <w:next w:val="Normal"/>
    <w:uiPriority w:val="29"/>
    <w:rsid w:val="004C4AA1"/>
    <w:pPr>
      <w:keepNext/>
      <w:spacing w:before="120" w:after="120" w:line="240" w:lineRule="auto"/>
      <w:outlineLvl w:val="1"/>
    </w:pPr>
    <w:rPr>
      <w:rFonts w:ascii="Calibri" w:eastAsiaTheme="majorEastAsia" w:hAnsi="Calibri" w:cstheme="majorBidi"/>
      <w:b/>
      <w:bCs/>
      <w:sz w:val="28"/>
      <w:szCs w:val="28"/>
      <w:lang w:val="en-GB"/>
    </w:rPr>
  </w:style>
  <w:style w:type="paragraph" w:customStyle="1" w:styleId="ESS-Heading3">
    <w:name w:val="ESS-Heading 3"/>
    <w:next w:val="Normal"/>
    <w:uiPriority w:val="29"/>
    <w:rsid w:val="004C4AA1"/>
    <w:pPr>
      <w:keepNext/>
      <w:spacing w:after="120" w:line="240" w:lineRule="auto"/>
      <w:outlineLvl w:val="2"/>
    </w:pPr>
    <w:rPr>
      <w:rFonts w:ascii="Calibri" w:eastAsiaTheme="majorEastAsia" w:hAnsi="Calibri" w:cstheme="majorBidi"/>
      <w:b/>
      <w:bCs/>
      <w:sz w:val="24"/>
      <w:szCs w:val="24"/>
      <w:lang w:val="en-GB"/>
    </w:rPr>
  </w:style>
  <w:style w:type="paragraph" w:customStyle="1" w:styleId="ESS-Heading4">
    <w:name w:val="ESS-Heading 4"/>
    <w:next w:val="Normal"/>
    <w:uiPriority w:val="29"/>
    <w:rsid w:val="004C4AA1"/>
    <w:pPr>
      <w:keepNext/>
      <w:spacing w:after="120" w:line="240" w:lineRule="auto"/>
      <w:outlineLvl w:val="3"/>
    </w:pPr>
    <w:rPr>
      <w:rFonts w:ascii="Calibri" w:eastAsiaTheme="majorEastAsia" w:hAnsi="Calibri" w:cstheme="majorBidi"/>
      <w:b/>
      <w:bCs/>
      <w:i/>
      <w:sz w:val="24"/>
      <w:szCs w:val="24"/>
      <w:lang w:val="en-GB"/>
    </w:rPr>
  </w:style>
  <w:style w:type="paragraph" w:styleId="Caption">
    <w:name w:val="caption"/>
    <w:basedOn w:val="Normal"/>
    <w:next w:val="Normal"/>
    <w:uiPriority w:val="35"/>
    <w:semiHidden/>
    <w:qFormat/>
    <w:locked/>
    <w:rsid w:val="00856794"/>
    <w:pPr>
      <w:spacing w:after="200" w:line="240" w:lineRule="auto"/>
      <w:ind w:left="998" w:hanging="998"/>
    </w:pPr>
    <w:rPr>
      <w:b/>
      <w:bCs/>
      <w:sz w:val="20"/>
      <w:szCs w:val="20"/>
    </w:rPr>
  </w:style>
  <w:style w:type="paragraph" w:styleId="Header">
    <w:name w:val="header"/>
    <w:next w:val="Normal"/>
    <w:link w:val="HeaderChar"/>
    <w:uiPriority w:val="99"/>
    <w:unhideWhenUsed/>
    <w:rsid w:val="0090693E"/>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90693E"/>
    <w:rPr>
      <w:rFonts w:ascii="Calibri" w:hAnsi="Calibri"/>
      <w:sz w:val="16"/>
      <w:lang w:val="en-GB"/>
    </w:rPr>
  </w:style>
  <w:style w:type="paragraph" w:styleId="Footer">
    <w:name w:val="footer"/>
    <w:next w:val="Normal"/>
    <w:link w:val="FooterChar"/>
    <w:unhideWhenUsed/>
    <w:rsid w:val="0090693E"/>
    <w:pPr>
      <w:spacing w:after="0" w:line="240" w:lineRule="auto"/>
    </w:pPr>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rsid w:val="00397071"/>
    <w:pPr>
      <w:keepNext/>
      <w:tabs>
        <w:tab w:val="left" w:pos="1412"/>
      </w:tabs>
      <w:spacing w:after="120" w:line="280" w:lineRule="atLeast"/>
      <w:ind w:left="1412" w:hanging="1412"/>
    </w:pPr>
    <w:rPr>
      <w:b/>
      <w:sz w:val="20"/>
      <w:szCs w:val="20"/>
      <w:lang w:val="en-GB"/>
    </w:rPr>
  </w:style>
  <w:style w:type="paragraph" w:customStyle="1" w:styleId="ESS-Guided">
    <w:name w:val="ESS-Guided"/>
    <w:uiPriority w:val="34"/>
    <w:rsid w:val="00651807"/>
    <w:pPr>
      <w:spacing w:before="60" w:after="0" w:line="240" w:lineRule="auto"/>
    </w:pPr>
    <w:rPr>
      <w:rFonts w:ascii="Calibri" w:hAnsi="Calibri"/>
      <w:sz w:val="20"/>
      <w:lang w:val="en-GB"/>
    </w:rPr>
  </w:style>
  <w:style w:type="paragraph" w:customStyle="1" w:styleId="ESS-GuidedBold">
    <w:name w:val="ESS-Guided Bold"/>
    <w:uiPriority w:val="34"/>
    <w:rsid w:val="00651807"/>
    <w:pPr>
      <w:spacing w:before="60" w:after="120" w:line="240" w:lineRule="auto"/>
    </w:pPr>
    <w:rPr>
      <w:rFonts w:ascii="Calibri" w:hAnsi="Calibri"/>
      <w:b/>
      <w:sz w:val="20"/>
      <w:lang w:val="en-GB"/>
    </w:rPr>
  </w:style>
  <w:style w:type="paragraph" w:customStyle="1" w:styleId="ESS-Lista">
    <w:name w:val="ESS-List (a)"/>
    <w:uiPriority w:val="34"/>
    <w:rsid w:val="00997AAA"/>
    <w:pPr>
      <w:numPr>
        <w:numId w:val="4"/>
      </w:numPr>
      <w:tabs>
        <w:tab w:val="left" w:pos="992"/>
      </w:tabs>
      <w:spacing w:after="240" w:line="280" w:lineRule="atLeast"/>
      <w:ind w:left="992" w:hanging="992"/>
    </w:pPr>
    <w:rPr>
      <w:sz w:val="24"/>
      <w:lang w:val="en-GB"/>
    </w:rPr>
  </w:style>
  <w:style w:type="paragraph" w:customStyle="1" w:styleId="ESS-ListBullet">
    <w:name w:val="ESS-List Bullet"/>
    <w:uiPriority w:val="34"/>
    <w:qFormat/>
    <w:rsid w:val="007E6D3A"/>
    <w:pPr>
      <w:numPr>
        <w:numId w:val="9"/>
      </w:numPr>
      <w:tabs>
        <w:tab w:val="left" w:pos="992"/>
      </w:tabs>
      <w:spacing w:after="240" w:line="280" w:lineRule="atLeast"/>
      <w:ind w:left="993" w:hanging="993"/>
    </w:pPr>
    <w:rPr>
      <w:rFonts w:ascii="Calibri" w:hAnsi="Calibri"/>
      <w:sz w:val="24"/>
      <w:lang w:val="en-GB"/>
    </w:rPr>
  </w:style>
  <w:style w:type="paragraph" w:customStyle="1" w:styleId="ESS-ListNumber">
    <w:name w:val="ESS-List Number"/>
    <w:uiPriority w:val="34"/>
    <w:qFormat/>
    <w:rsid w:val="000858CE"/>
    <w:pPr>
      <w:numPr>
        <w:numId w:val="14"/>
      </w:numPr>
      <w:spacing w:after="240" w:line="280" w:lineRule="atLeast"/>
      <w:ind w:left="993" w:hanging="993"/>
    </w:pPr>
    <w:rPr>
      <w:rFonts w:ascii="Calibri" w:hAnsi="Calibri"/>
      <w:sz w:val="24"/>
      <w:lang w:val="en-GB"/>
    </w:rPr>
  </w:style>
  <w:style w:type="paragraph" w:styleId="ListParagraph">
    <w:name w:val="List Paragraph"/>
    <w:basedOn w:val="Normal"/>
    <w:uiPriority w:val="34"/>
    <w:semiHidden/>
    <w:locked/>
    <w:rsid w:val="006C7F31"/>
    <w:pPr>
      <w:ind w:left="720"/>
      <w:contextualSpacing/>
    </w:pPr>
  </w:style>
  <w:style w:type="paragraph" w:customStyle="1" w:styleId="ESS-ListSubsidiary">
    <w:name w:val="ESS-List Subsidiary"/>
    <w:uiPriority w:val="34"/>
    <w:rsid w:val="00893822"/>
    <w:pPr>
      <w:numPr>
        <w:numId w:val="12"/>
      </w:numPr>
      <w:tabs>
        <w:tab w:val="left" w:pos="1985"/>
      </w:tabs>
      <w:spacing w:after="240" w:line="280" w:lineRule="atLeast"/>
      <w:ind w:left="1984" w:hanging="992"/>
    </w:pPr>
    <w:rPr>
      <w:rFonts w:ascii="Calibri" w:hAnsi="Calibri"/>
      <w:sz w:val="24"/>
      <w:lang w:val="en-GB"/>
    </w:rPr>
  </w:style>
  <w:style w:type="paragraph" w:customStyle="1" w:styleId="ESS-NormalIndent">
    <w:name w:val="ESS-Normal Indent"/>
    <w:uiPriority w:val="1"/>
    <w:rsid w:val="005E30BC"/>
    <w:pPr>
      <w:spacing w:after="240" w:line="280" w:lineRule="atLeast"/>
      <w:ind w:left="992"/>
    </w:pPr>
    <w:rPr>
      <w:rFonts w:ascii="Calibri" w:hAnsi="Calibri"/>
      <w:sz w:val="24"/>
      <w:lang w:val="en-GB"/>
    </w:rPr>
  </w:style>
  <w:style w:type="paragraph" w:customStyle="1" w:styleId="ESS-Single">
    <w:name w:val="ESS-Single"/>
    <w:uiPriority w:val="34"/>
    <w:rsid w:val="005E30BC"/>
    <w:pPr>
      <w:spacing w:after="0" w:line="240" w:lineRule="auto"/>
    </w:pPr>
    <w:rPr>
      <w:rFonts w:ascii="Calibri" w:hAnsi="Calibri"/>
      <w:sz w:val="24"/>
      <w:lang w:val="en-GB"/>
    </w:rPr>
  </w:style>
  <w:style w:type="paragraph" w:customStyle="1" w:styleId="ESS-StudyTitle">
    <w:name w:val="ESS-Study Title"/>
    <w:uiPriority w:val="34"/>
    <w:rsid w:val="00CA42EF"/>
    <w:pPr>
      <w:spacing w:after="120" w:line="240" w:lineRule="auto"/>
      <w:jc w:val="center"/>
    </w:pPr>
    <w:rPr>
      <w:rFonts w:ascii="Calibri" w:hAnsi="Calibri"/>
      <w:b/>
      <w:sz w:val="28"/>
      <w:lang w:val="en-GB"/>
    </w:rPr>
  </w:style>
  <w:style w:type="paragraph" w:customStyle="1" w:styleId="ESS-TableFootnoteText">
    <w:name w:val="ESS-Table Footnote Text"/>
    <w:next w:val="Normal"/>
    <w:uiPriority w:val="34"/>
    <w:rsid w:val="005E30BC"/>
    <w:pPr>
      <w:tabs>
        <w:tab w:val="left" w:pos="431"/>
      </w:tabs>
      <w:spacing w:after="0" w:line="240" w:lineRule="auto"/>
      <w:ind w:left="431" w:hanging="431"/>
    </w:pPr>
    <w:rPr>
      <w:rFonts w:ascii="Calibri" w:hAnsi="Calibri"/>
      <w:sz w:val="20"/>
      <w:lang w:val="en-GB"/>
    </w:rPr>
  </w:style>
  <w:style w:type="table" w:styleId="TableGrid">
    <w:name w:val="Table Grid"/>
    <w:basedOn w:val="TableNormal"/>
    <w:uiPriority w:val="59"/>
    <w:locked/>
    <w:rsid w:val="00E8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S-TableHeader">
    <w:name w:val="ESS-Table Header"/>
    <w:next w:val="ESS-TableText"/>
    <w:uiPriority w:val="34"/>
    <w:rsid w:val="005E30BC"/>
    <w:pPr>
      <w:keepNext/>
      <w:spacing w:before="60" w:after="60" w:line="240" w:lineRule="auto"/>
    </w:pPr>
    <w:rPr>
      <w:rFonts w:ascii="Calibri" w:hAnsi="Calibri"/>
      <w:b/>
      <w:lang w:val="en-GB"/>
    </w:rPr>
  </w:style>
  <w:style w:type="paragraph" w:customStyle="1" w:styleId="ESS-TableText">
    <w:name w:val="ESS-Table Text"/>
    <w:uiPriority w:val="34"/>
    <w:rsid w:val="000C5AF2"/>
    <w:pPr>
      <w:spacing w:before="60" w:after="60" w:line="240" w:lineRule="auto"/>
    </w:pPr>
    <w:rPr>
      <w:rFonts w:ascii="Calibri" w:hAnsi="Calibri"/>
      <w:lang w:val="en-GB"/>
    </w:rPr>
  </w:style>
  <w:style w:type="paragraph" w:customStyle="1" w:styleId="ESS-TableTitle">
    <w:name w:val="ESS-Table Title"/>
    <w:next w:val="Normal"/>
    <w:uiPriority w:val="34"/>
    <w:rsid w:val="00CE1793"/>
    <w:pPr>
      <w:keepNext/>
      <w:tabs>
        <w:tab w:val="left" w:pos="1412"/>
      </w:tabs>
      <w:spacing w:after="120" w:line="280" w:lineRule="atLeast"/>
      <w:ind w:left="1412" w:hanging="1412"/>
    </w:pPr>
    <w:rPr>
      <w:rFonts w:ascii="Calibri" w:hAnsi="Calibri"/>
      <w:b/>
      <w:sz w:val="24"/>
      <w:lang w:val="en-GB"/>
    </w:rPr>
  </w:style>
  <w:style w:type="paragraph" w:customStyle="1" w:styleId="ESS-Unassigned">
    <w:name w:val="ESS-Unassigned"/>
    <w:next w:val="Normal"/>
    <w:uiPriority w:val="34"/>
    <w:rsid w:val="00CE1793"/>
    <w:pPr>
      <w:keepNext/>
      <w:spacing w:before="120" w:after="120" w:line="240" w:lineRule="auto"/>
    </w:pPr>
    <w:rPr>
      <w:rFonts w:ascii="Calibri" w:hAnsi="Calibri"/>
      <w:b/>
      <w:sz w:val="24"/>
      <w:lang w:val="en-GB"/>
    </w:rPr>
  </w:style>
  <w:style w:type="paragraph" w:customStyle="1" w:styleId="ESS-Unnumbered">
    <w:name w:val="ESS-Unnumbered"/>
    <w:next w:val="Normal"/>
    <w:uiPriority w:val="34"/>
    <w:rsid w:val="0090693E"/>
    <w:pPr>
      <w:keepNext/>
      <w:spacing w:before="480" w:after="240" w:line="240" w:lineRule="auto"/>
    </w:pPr>
    <w:rPr>
      <w:rFonts w:ascii="Calibri" w:hAnsi="Calibri"/>
      <w:b/>
      <w:caps/>
      <w:sz w:val="28"/>
      <w:lang w:val="en-GB"/>
    </w:rPr>
  </w:style>
  <w:style w:type="paragraph" w:styleId="TableofFigures">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TOC1">
    <w:name w:val="toc 1"/>
    <w:uiPriority w:val="39"/>
    <w:rsid w:val="009C6F7F"/>
    <w:pPr>
      <w:tabs>
        <w:tab w:val="right" w:leader="dot" w:pos="8930"/>
      </w:tabs>
      <w:spacing w:before="120" w:after="0" w:line="240" w:lineRule="auto"/>
      <w:ind w:left="992" w:right="862" w:hanging="992"/>
    </w:pPr>
    <w:rPr>
      <w:rFonts w:ascii="Calibri" w:hAnsi="Calibri"/>
      <w:caps/>
      <w:noProof/>
      <w:sz w:val="28"/>
      <w:lang w:val="en-GB"/>
    </w:rPr>
  </w:style>
  <w:style w:type="paragraph" w:styleId="TOC2">
    <w:name w:val="toc 2"/>
    <w:basedOn w:val="TOC1"/>
    <w:uiPriority w:val="39"/>
    <w:rsid w:val="00732415"/>
    <w:rPr>
      <w:caps w:val="0"/>
    </w:rPr>
  </w:style>
  <w:style w:type="paragraph" w:styleId="TOC3">
    <w:name w:val="toc 3"/>
    <w:basedOn w:val="TOC1"/>
    <w:uiPriority w:val="39"/>
    <w:rsid w:val="000677CD"/>
    <w:pPr>
      <w:spacing w:before="0"/>
    </w:pPr>
    <w:rPr>
      <w:caps w:val="0"/>
    </w:rPr>
  </w:style>
  <w:style w:type="paragraph" w:styleId="TOC4">
    <w:name w:val="toc 4"/>
    <w:basedOn w:val="TOC1"/>
    <w:uiPriority w:val="39"/>
    <w:rsid w:val="00C800AC"/>
    <w:pPr>
      <w:spacing w:before="0"/>
    </w:pPr>
    <w:rPr>
      <w:caps w:val="0"/>
    </w:rPr>
  </w:style>
  <w:style w:type="paragraph" w:styleId="TOC5">
    <w:name w:val="toc 5"/>
    <w:basedOn w:val="TOC1"/>
    <w:uiPriority w:val="39"/>
    <w:rsid w:val="000677CD"/>
    <w:pPr>
      <w:framePr w:wrap="around" w:vAnchor="text" w:hAnchor="text" w:y="1"/>
      <w:spacing w:before="0"/>
      <w:ind w:left="0" w:right="0" w:firstLine="0"/>
    </w:pPr>
  </w:style>
  <w:style w:type="paragraph" w:styleId="TOC6">
    <w:name w:val="toc 6"/>
    <w:basedOn w:val="TOC4"/>
    <w:uiPriority w:val="39"/>
    <w:rsid w:val="000677CD"/>
    <w:pPr>
      <w:ind w:left="0" w:right="0" w:firstLine="0"/>
    </w:pPr>
  </w:style>
  <w:style w:type="paragraph" w:styleId="TOC7">
    <w:name w:val="toc 7"/>
    <w:basedOn w:val="TOC3"/>
    <w:uiPriority w:val="39"/>
    <w:rsid w:val="000677CD"/>
    <w:pPr>
      <w:ind w:left="0" w:right="0" w:firstLine="0"/>
    </w:pPr>
    <w:rPr>
      <w:caps/>
    </w:rPr>
  </w:style>
  <w:style w:type="paragraph" w:styleId="TOC8">
    <w:name w:val="toc 8"/>
    <w:basedOn w:val="TOC3"/>
    <w:uiPriority w:val="39"/>
    <w:rsid w:val="000677CD"/>
    <w:pPr>
      <w:ind w:left="0" w:right="0" w:firstLine="0"/>
    </w:pPr>
    <w:rPr>
      <w:caps/>
    </w:rPr>
  </w:style>
  <w:style w:type="paragraph" w:styleId="BalloonText">
    <w:name w:val="Balloon Text"/>
    <w:basedOn w:val="Normal"/>
    <w:link w:val="BalloonTextChar"/>
    <w:uiPriority w:val="99"/>
    <w:semiHidden/>
    <w:unhideWhenUsed/>
    <w:locked/>
    <w:rsid w:val="00B4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color w:val="0000FF" w:themeColor="hyperlink"/>
      <w:u w:val="single"/>
    </w:rPr>
  </w:style>
  <w:style w:type="paragraph" w:styleId="TOC9">
    <w:name w:val="toc 9"/>
    <w:basedOn w:val="Normal"/>
    <w:next w:val="Normal"/>
    <w:autoRedefine/>
    <w:uiPriority w:val="39"/>
    <w:semiHidden/>
    <w:locked/>
    <w:rsid w:val="0045462D"/>
    <w:pPr>
      <w:spacing w:after="100"/>
      <w:ind w:left="1920"/>
    </w:pPr>
  </w:style>
  <w:style w:type="character" w:styleId="PageNumber">
    <w:name w:val="page number"/>
    <w:basedOn w:val="DefaultParagraphFont"/>
    <w:uiPriority w:val="99"/>
    <w:unhideWhenUsed/>
    <w:rsid w:val="0017476C"/>
  </w:style>
  <w:style w:type="paragraph" w:customStyle="1" w:styleId="E-TableHeader">
    <w:name w:val="E-Table Header"/>
    <w:next w:val="E-TableTex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rsid w:val="004F4C8F"/>
    <w:pPr>
      <w:spacing w:before="60" w:after="60" w:line="240" w:lineRule="auto"/>
    </w:pPr>
    <w:rPr>
      <w:rFonts w:ascii="Tahoma" w:eastAsia="Times New Roman" w:hAnsi="Tahoma" w:cs="Times New Roman"/>
      <w:sz w:val="20"/>
      <w:szCs w:val="20"/>
      <w:lang w:val="en-GB"/>
    </w:rPr>
  </w:style>
  <w:style w:type="paragraph" w:customStyle="1" w:styleId="E-TableTitle">
    <w:name w:val="E-Table Title"/>
    <w:rsid w:val="00397071"/>
    <w:pPr>
      <w:keepNext/>
      <w:tabs>
        <w:tab w:val="left" w:pos="1800"/>
      </w:tabs>
      <w:spacing w:after="120" w:line="280" w:lineRule="atLeast"/>
      <w:ind w:left="1800" w:hanging="1800"/>
    </w:pPr>
    <w:rPr>
      <w:rFonts w:ascii="Tahoma" w:eastAsia="Times New Roman" w:hAnsi="Tahoma" w:cs="Times New Roman"/>
      <w:szCs w:val="20"/>
      <w:lang w:val="en-GB"/>
    </w:rPr>
  </w:style>
  <w:style w:type="character" w:styleId="PlaceholderText">
    <w:name w:val="Placeholder Text"/>
    <w:basedOn w:val="DefaultParagraphFont"/>
    <w:uiPriority w:val="99"/>
    <w:semiHidden/>
    <w:locked/>
    <w:rsid w:val="00005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AB5D7CA2146E4B9B19FCB8D4A3979B"/>
        <w:category>
          <w:name w:val="General"/>
          <w:gallery w:val="placeholder"/>
        </w:category>
        <w:types>
          <w:type w:val="bbPlcHdr"/>
        </w:types>
        <w:behaviors>
          <w:behavior w:val="content"/>
        </w:behaviors>
        <w:guid w:val="{03734343-3691-0B42-AA71-FBAA206A5B9B}"/>
      </w:docPartPr>
      <w:docPartBody>
        <w:p w:rsidR="008709C8" w:rsidRDefault="000F4713" w:rsidP="000F4713">
          <w:pPr>
            <w:pStyle w:val="9FAB5D7CA2146E4B9B19FCB8D4A3979B"/>
          </w:pPr>
          <w:r>
            <w:t>[Type text]</w:t>
          </w:r>
        </w:p>
      </w:docPartBody>
    </w:docPart>
    <w:docPart>
      <w:docPartPr>
        <w:name w:val="1A5E4330DD76D24DB286646ADB47F57F"/>
        <w:category>
          <w:name w:val="General"/>
          <w:gallery w:val="placeholder"/>
        </w:category>
        <w:types>
          <w:type w:val="bbPlcHdr"/>
        </w:types>
        <w:behaviors>
          <w:behavior w:val="content"/>
        </w:behaviors>
        <w:guid w:val="{B32AF801-5617-9449-B47A-514039827754}"/>
      </w:docPartPr>
      <w:docPartBody>
        <w:p w:rsidR="008709C8" w:rsidRDefault="000F4713" w:rsidP="000F4713">
          <w:pPr>
            <w:pStyle w:val="1A5E4330DD76D24DB286646ADB47F57F"/>
          </w:pPr>
          <w:r>
            <w:t>[Type text]</w:t>
          </w:r>
        </w:p>
      </w:docPartBody>
    </w:docPart>
    <w:docPart>
      <w:docPartPr>
        <w:name w:val="D2EF777AECAF0E409F1A70E701A54498"/>
        <w:category>
          <w:name w:val="General"/>
          <w:gallery w:val="placeholder"/>
        </w:category>
        <w:types>
          <w:type w:val="bbPlcHdr"/>
        </w:types>
        <w:behaviors>
          <w:behavior w:val="content"/>
        </w:behaviors>
        <w:guid w:val="{A4D67730-F805-FA4D-9E2F-E51B6D1419C8}"/>
      </w:docPartPr>
      <w:docPartBody>
        <w:p w:rsidR="008709C8" w:rsidRDefault="000F4713" w:rsidP="000F4713">
          <w:pPr>
            <w:pStyle w:val="D2EF777AECAF0E409F1A70E701A544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13"/>
    <w:rsid w:val="000457F7"/>
    <w:rsid w:val="000F4713"/>
    <w:rsid w:val="00122AE6"/>
    <w:rsid w:val="00204119"/>
    <w:rsid w:val="00415D39"/>
    <w:rsid w:val="004F221E"/>
    <w:rsid w:val="005822F3"/>
    <w:rsid w:val="007C78EB"/>
    <w:rsid w:val="008709C8"/>
    <w:rsid w:val="00A94FA1"/>
    <w:rsid w:val="00AD350F"/>
    <w:rsid w:val="00B8235F"/>
    <w:rsid w:val="00C22157"/>
    <w:rsid w:val="00DD14D9"/>
    <w:rsid w:val="00F60D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B5D7CA2146E4B9B19FCB8D4A3979B">
    <w:name w:val="9FAB5D7CA2146E4B9B19FCB8D4A3979B"/>
    <w:rsid w:val="000F4713"/>
  </w:style>
  <w:style w:type="paragraph" w:customStyle="1" w:styleId="1A5E4330DD76D24DB286646ADB47F57F">
    <w:name w:val="1A5E4330DD76D24DB286646ADB47F57F"/>
    <w:rsid w:val="000F4713"/>
  </w:style>
  <w:style w:type="paragraph" w:customStyle="1" w:styleId="D2EF777AECAF0E409F1A70E701A54498">
    <w:name w:val="D2EF777AECAF0E409F1A70E701A54498"/>
    <w:rsid w:val="000F4713"/>
  </w:style>
  <w:style w:type="paragraph" w:customStyle="1" w:styleId="9F944DF6B444EA429CF8B9DEE29CB5E4">
    <w:name w:val="9F944DF6B444EA429CF8B9DEE29CB5E4"/>
    <w:rsid w:val="000F4713"/>
  </w:style>
  <w:style w:type="paragraph" w:customStyle="1" w:styleId="C59500565F09A34AB91F7C5C21022C9D">
    <w:name w:val="C59500565F09A34AB91F7C5C21022C9D"/>
    <w:rsid w:val="000F4713"/>
  </w:style>
  <w:style w:type="paragraph" w:customStyle="1" w:styleId="EB71FB5F93296C46AC2F2157CDE8B41B">
    <w:name w:val="EB71FB5F93296C46AC2F2157CDE8B41B"/>
    <w:rsid w:val="000F4713"/>
  </w:style>
  <w:style w:type="character" w:styleId="PlaceholderText">
    <w:name w:val="Placeholder Text"/>
    <w:basedOn w:val="DefaultParagraphFont"/>
    <w:uiPriority w:val="99"/>
    <w:semiHidden/>
    <w:rsid w:val="00B823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2.xml><?xml version="1.0" encoding="utf-8"?>
<ds:datastoreItem xmlns:ds="http://schemas.openxmlformats.org/officeDocument/2006/customXml" ds:itemID="{426870F4-6916-6D4B-A39A-5C162094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2328</Words>
  <Characters>13271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ÅF AB</Company>
  <LinksUpToDate>false</LinksUpToDate>
  <CharactersWithSpaces>15568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Tillman Carl</dc:creator>
  <cp:lastModifiedBy>Microsoft Office User</cp:lastModifiedBy>
  <cp:revision>2</cp:revision>
  <dcterms:created xsi:type="dcterms:W3CDTF">2017-11-30T18:44:00Z</dcterms:created>
  <dcterms:modified xsi:type="dcterms:W3CDTF">2017-11-30T18:44:00Z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cess Type">
    <vt:lpwstr>Inherited</vt:lpwstr>
  </property>
  <property fmtid="{D5CDD505-2E9C-101B-9397-08002B2CF9AE}" pid="4" name="MXActiveVersion">
    <vt:lpwstr>4</vt:lpwstr>
  </property>
  <property fmtid="{D5CDD505-2E9C-101B-9397-08002B2CF9AE}" pid="5" name="MXActual_state_Preliminary">
    <vt:lpwstr>Aug 31, 2017</vt:lpwstr>
  </property>
  <property fmtid="{D5CDD505-2E9C-101B-9397-08002B2CF9AE}" pid="6" name="MXActual_state_Released">
    <vt:lpwstr>N/A</vt:lpwstr>
  </property>
  <property fmtid="{D5CDD505-2E9C-101B-9397-08002B2CF9AE}" pid="7" name="MXApprover">
    <vt:lpwstr/>
  </property>
  <property fmtid="{D5CDD505-2E9C-101B-9397-08002B2CF9AE}" pid="8" name="MXAuthor">
    <vt:lpwstr>Muhrer, Günter</vt:lpwstr>
  </property>
  <property fmtid="{D5CDD505-2E9C-101B-9397-08002B2CF9AE}" pid="9" name="MXCheckin Reason">
    <vt:lpwstr/>
  </property>
  <property fmtid="{D5CDD505-2E9C-101B-9397-08002B2CF9AE}" pid="10" name="MXclau">
    <vt:lpwstr>False</vt:lpwstr>
  </property>
  <property fmtid="{D5CDD505-2E9C-101B-9397-08002B2CF9AE}" pid="11" name="MXConfidentiality">
    <vt:lpwstr>Internal</vt:lpwstr>
  </property>
  <property fmtid="{D5CDD505-2E9C-101B-9397-08002B2CF9AE}" pid="12" name="MXCurrent">
    <vt:lpwstr>Preliminary</vt:lpwstr>
  </property>
  <property fmtid="{D5CDD505-2E9C-101B-9397-08002B2CF9AE}" pid="13" name="MXCurrent.Localized">
    <vt:lpwstr>Preliminary</vt:lpwstr>
  </property>
  <property fmtid="{D5CDD505-2E9C-101B-9397-08002B2CF9AE}" pid="14" name="MXDescription">
    <vt:lpwstr/>
  </property>
  <property fmtid="{D5CDD505-2E9C-101B-9397-08002B2CF9AE}" pid="15" name="MXDesignated User">
    <vt:lpwstr>Unassigned</vt:lpwstr>
  </property>
  <property fmtid="{D5CDD505-2E9C-101B-9397-08002B2CF9AE}" pid="16" name="MXdmg_GeneratedFrom">
    <vt:lpwstr/>
  </property>
  <property fmtid="{D5CDD505-2E9C-101B-9397-08002B2CF9AE}" pid="17" name="MXdmg_Language">
    <vt:lpwstr>en</vt:lpwstr>
  </property>
  <property fmtid="{D5CDD505-2E9C-101B-9397-08002B2CF9AE}" pid="18" name="MXEmail">
    <vt:lpwstr>Zvonko.Lazic@esss.se</vt:lpwstr>
  </property>
  <property fmtid="{D5CDD505-2E9C-101B-9397-08002B2CF9AE}" pid="19" name="MXFirstName">
    <vt:lpwstr>Zvonko</vt:lpwstr>
  </property>
  <property fmtid="{D5CDD505-2E9C-101B-9397-08002B2CF9AE}" pid="20" name="MXIs Version Object">
    <vt:lpwstr>False</vt:lpwstr>
  </property>
  <property fmtid="{D5CDD505-2E9C-101B-9397-08002B2CF9AE}" pid="21" name="MXLanguage">
    <vt:lpwstr>English</vt:lpwstr>
  </property>
  <property fmtid="{D5CDD505-2E9C-101B-9397-08002B2CF9AE}" pid="22" name="MXLastName">
    <vt:lpwstr>Lazic</vt:lpwstr>
  </property>
  <property fmtid="{D5CDD505-2E9C-101B-9397-08002B2CF9AE}" pid="23" name="MXLatestVersion">
    <vt:lpwstr>4</vt:lpwstr>
  </property>
  <property fmtid="{D5CDD505-2E9C-101B-9397-08002B2CF9AE}" pid="24" name="MXLegacy Id">
    <vt:lpwstr/>
  </property>
  <property fmtid="{D5CDD505-2E9C-101B-9397-08002B2CF9AE}" pid="25" name="MXLink">
    <vt:lpwstr/>
  </property>
  <property fmtid="{D5CDD505-2E9C-101B-9397-08002B2CF9AE}" pid="26" name="MXMiddleName">
    <vt:lpwstr>Unknown</vt:lpwstr>
  </property>
  <property fmtid="{D5CDD505-2E9C-101B-9397-08002B2CF9AE}" pid="27" name="MXMove Files To Version">
    <vt:lpwstr>False</vt:lpwstr>
  </property>
  <property fmtid="{D5CDD505-2E9C-101B-9397-08002B2CF9AE}" pid="28" name="MXName">
    <vt:lpwstr>ESS-0134533</vt:lpwstr>
  </property>
  <property fmtid="{D5CDD505-2E9C-101B-9397-08002B2CF9AE}" pid="29" name="MXOriginator">
    <vt:lpwstr>guntermuhrer</vt:lpwstr>
  </property>
  <property fmtid="{D5CDD505-2E9C-101B-9397-08002B2CF9AE}" pid="30" name="MXPolicy">
    <vt:lpwstr>Controlled Document</vt:lpwstr>
  </property>
  <property fmtid="{D5CDD505-2E9C-101B-9397-08002B2CF9AE}" pid="31" name="MXPolicy.Localized">
    <vt:lpwstr>Controlled Document</vt:lpwstr>
  </property>
  <property fmtid="{D5CDD505-2E9C-101B-9397-08002B2CF9AE}" pid="32" name="MXPrinted Date">
    <vt:lpwstr>Sep 8, 2017</vt:lpwstr>
  </property>
  <property fmtid="{D5CDD505-2E9C-101B-9397-08002B2CF9AE}" pid="33" name="MXPrinted Version">
    <vt:lpwstr>(4)</vt:lpwstr>
  </property>
  <property fmtid="{D5CDD505-2E9C-101B-9397-08002B2CF9AE}" pid="34" name="MXReference">
    <vt:lpwstr/>
  </property>
  <property fmtid="{D5CDD505-2E9C-101B-9397-08002B2CF9AE}" pid="35" name="MXRevision">
    <vt:lpwstr>1</vt:lpwstr>
  </property>
  <property fmtid="{D5CDD505-2E9C-101B-9397-08002B2CF9AE}" pid="36" name="MXSignatures_state_Preliminary">
    <vt:lpwstr/>
  </property>
  <property fmtid="{D5CDD505-2E9C-101B-9397-08002B2CF9AE}" pid="37" name="MXSignatures_state_Released">
    <vt:lpwstr/>
  </property>
  <property fmtid="{D5CDD505-2E9C-101B-9397-08002B2CF9AE}" pid="38" name="MXSubmitter">
    <vt:lpwstr>Muhrer, Günter</vt:lpwstr>
  </property>
  <property fmtid="{D5CDD505-2E9C-101B-9397-08002B2CF9AE}" pid="39" name="MXSuspend Versioning">
    <vt:lpwstr>False</vt:lpwstr>
  </property>
  <property fmtid="{D5CDD505-2E9C-101B-9397-08002B2CF9AE}" pid="40" name="MXTitle">
    <vt:lpwstr>Dose assessment in the offices for zoning discussion.</vt:lpwstr>
  </property>
  <property fmtid="{D5CDD505-2E9C-101B-9397-08002B2CF9AE}" pid="41" name="MXTVA DTM Allowed Groups">
    <vt:lpwstr/>
  </property>
  <property fmtid="{D5CDD505-2E9C-101B-9397-08002B2CF9AE}" pid="42" name="MXTVA DTM Allowed Roles">
    <vt:lpwstr/>
  </property>
  <property fmtid="{D5CDD505-2E9C-101B-9397-08002B2CF9AE}" pid="43" name="MXTVA DTM Template Access">
    <vt:lpwstr/>
  </property>
  <property fmtid="{D5CDD505-2E9C-101B-9397-08002B2CF9AE}" pid="44" name="MXTVA DTM Template Visable">
    <vt:lpwstr>Yes</vt:lpwstr>
  </property>
  <property fmtid="{D5CDD505-2E9C-101B-9397-08002B2CF9AE}" pid="45" name="MXTVADummy1">
    <vt:lpwstr/>
  </property>
  <property fmtid="{D5CDD505-2E9C-101B-9397-08002B2CF9AE}" pid="46" name="MXTVADummy2">
    <vt:lpwstr/>
  </property>
  <property fmtid="{D5CDD505-2E9C-101B-9397-08002B2CF9AE}" pid="47" name="MXTVADummy3">
    <vt:lpwstr/>
  </property>
  <property fmtid="{D5CDD505-2E9C-101B-9397-08002B2CF9AE}" pid="48" name="MXType">
    <vt:lpwstr>dmg_AnalysisReport</vt:lpwstr>
  </property>
  <property fmtid="{D5CDD505-2E9C-101B-9397-08002B2CF9AE}" pid="49" name="MXType.Localized">
    <vt:lpwstr>Analysis Report</vt:lpwstr>
  </property>
  <property fmtid="{D5CDD505-2E9C-101B-9397-08002B2CF9AE}" pid="50" name="MXUser">
    <vt:lpwstr>zvonkolazic</vt:lpwstr>
  </property>
  <property fmtid="{D5CDD505-2E9C-101B-9397-08002B2CF9AE}" pid="51" name="MXVersion">
    <vt:lpwstr>4</vt:lpwstr>
  </property>
  <property fmtid="{D5CDD505-2E9C-101B-9397-08002B2CF9AE}" pid="52" name="prpGSDName">
    <vt:lpwstr>Report</vt:lpwstr>
  </property>
  <property fmtid="{D5CDD505-2E9C-101B-9397-08002B2CF9AE}" pid="53" name="prpGSDNo">
    <vt:lpwstr>1</vt:lpwstr>
  </property>
  <property fmtid="{D5CDD505-2E9C-101B-9397-08002B2CF9AE}" pid="54" name="prpVersion">
    <vt:lpwstr>Template Active Date: 18 Sep 2015</vt:lpwstr>
  </property>
  <property fmtid="{D5CDD505-2E9C-101B-9397-08002B2CF9AE}" pid="55" name="MXActual_state_Obsolete">
    <vt:lpwstr>N/A</vt:lpwstr>
  </property>
  <property fmtid="{D5CDD505-2E9C-101B-9397-08002B2CF9AE}" pid="56" name="MXSignatures_state_Obsolete">
    <vt:lpwstr/>
  </property>
  <property fmtid="{D5CDD505-2E9C-101B-9397-08002B2CF9AE}" pid="57" name="MXActual_state_Review">
    <vt:lpwstr>N/A</vt:lpwstr>
  </property>
  <property fmtid="{D5CDD505-2E9C-101B-9397-08002B2CF9AE}" pid="58" name="MXSignatures_state_Review">
    <vt:lpwstr/>
  </property>
  <property fmtid="{D5CDD505-2E9C-101B-9397-08002B2CF9AE}" pid="59" name="MXdmg_LastSourceFileCheckin">
    <vt:lpwstr>Sep 8, 2017</vt:lpwstr>
  </property>
  <property fmtid="{D5CDD505-2E9C-101B-9397-08002B2CF9AE}" pid="60" name="MXcon_CompanyAddress">
    <vt:lpwstr/>
  </property>
  <property fmtid="{D5CDD505-2E9C-101B-9397-08002B2CF9AE}" pid="61" name="MXcon_CompanyRegistrationNumber">
    <vt:lpwstr/>
  </property>
  <property fmtid="{D5CDD505-2E9C-101B-9397-08002B2CF9AE}" pid="62" name="MXcon_CeilingPrice">
    <vt:lpwstr/>
  </property>
  <property fmtid="{D5CDD505-2E9C-101B-9397-08002B2CF9AE}" pid="63" name="MXcon_ConflictOfInterestOrPersonalRelationToCounterpart">
    <vt:lpwstr>False</vt:lpwstr>
  </property>
  <property fmtid="{D5CDD505-2E9C-101B-9397-08002B2CF9AE}" pid="64" name="MXcon_ConflictOrInterest">
    <vt:lpwstr/>
  </property>
  <property fmtid="{D5CDD505-2E9C-101B-9397-08002B2CF9AE}" pid="65" name="MXcon_DescriptionOfTheServices">
    <vt:lpwstr/>
  </property>
  <property fmtid="{D5CDD505-2E9C-101B-9397-08002B2CF9AE}" pid="66" name="MXcon_DurationEnd">
    <vt:lpwstr/>
  </property>
  <property fmtid="{D5CDD505-2E9C-101B-9397-08002B2CF9AE}" pid="67" name="MXcon_DurationStart">
    <vt:lpwstr/>
  </property>
  <property fmtid="{D5CDD505-2E9C-101B-9397-08002B2CF9AE}" pid="68" name="MXcon_ExpensesDetails">
    <vt:lpwstr/>
  </property>
  <property fmtid="{D5CDD505-2E9C-101B-9397-08002B2CF9AE}" pid="69" name="MXcon_ExternalFundsDetails">
    <vt:lpwstr/>
  </property>
  <property fmtid="{D5CDD505-2E9C-101B-9397-08002B2CF9AE}" pid="70" name="MXcon_Fee">
    <vt:lpwstr/>
  </property>
  <property fmtid="{D5CDD505-2E9C-101B-9397-08002B2CF9AE}" pid="71" name="MXcon_FeeOptions">
    <vt:lpwstr>Hourly</vt:lpwstr>
  </property>
  <property fmtid="{D5CDD505-2E9C-101B-9397-08002B2CF9AE}" pid="72" name="MXcon_FinancedByExternalFunds">
    <vt:lpwstr>False</vt:lpwstr>
  </property>
  <property fmtid="{D5CDD505-2E9C-101B-9397-08002B2CF9AE}" pid="73" name="MXcon_ITEquipment">
    <vt:lpwstr>False</vt:lpwstr>
  </property>
  <property fmtid="{D5CDD505-2E9C-101B-9397-08002B2CF9AE}" pid="74" name="MXcon_ITEquipmentDetails">
    <vt:lpwstr/>
  </property>
  <property fmtid="{D5CDD505-2E9C-101B-9397-08002B2CF9AE}" pid="75" name="MXcon_ImportantCommercialOrOther">
    <vt:lpwstr/>
  </property>
  <property fmtid="{D5CDD505-2E9C-101B-9397-08002B2CF9AE}" pid="76" name="MXcon_NameOfCounterpart">
    <vt:lpwstr/>
  </property>
  <property fmtid="{D5CDD505-2E9C-101B-9397-08002B2CF9AE}" pid="77" name="MXcon_NameOfLineManager">
    <vt:lpwstr/>
  </property>
  <property fmtid="{D5CDD505-2E9C-101B-9397-08002B2CF9AE}" pid="78" name="MXcon_CompanyType">
    <vt:lpwstr>Limited Liability company</vt:lpwstr>
  </property>
  <property fmtid="{D5CDD505-2E9C-101B-9397-08002B2CF9AE}" pid="79" name="MXcon_Notified">
    <vt:lpwstr>False</vt:lpwstr>
  </property>
  <property fmtid="{D5CDD505-2E9C-101B-9397-08002B2CF9AE}" pid="80" name="MXcon_OtherExpenses">
    <vt:lpwstr>False</vt:lpwstr>
  </property>
  <property fmtid="{D5CDD505-2E9C-101B-9397-08002B2CF9AE}" pid="81" name="MXcon_OtherRelevantInformation">
    <vt:lpwstr/>
  </property>
  <property fmtid="{D5CDD505-2E9C-101B-9397-08002B2CF9AE}" pid="82" name="MXcon_OtherRelevantInformationDescription">
    <vt:lpwstr/>
  </property>
  <property fmtid="{D5CDD505-2E9C-101B-9397-08002B2CF9AE}" pid="83" name="MXcon_ReasonForExemption">
    <vt:lpwstr/>
  </property>
  <property fmtid="{D5CDD505-2E9C-101B-9397-08002B2CF9AE}" pid="84" name="MXcon_ReportingProcedure">
    <vt:lpwstr/>
  </property>
  <property fmtid="{D5CDD505-2E9C-101B-9397-08002B2CF9AE}" pid="85" name="MXcon_SubjectToProcurement">
    <vt:lpwstr>False</vt:lpwstr>
  </property>
  <property fmtid="{D5CDD505-2E9C-101B-9397-08002B2CF9AE}" pid="86" name="MXcon_TimeScheduleAndMilestonesForCompletion">
    <vt:lpwstr/>
  </property>
  <property fmtid="{D5CDD505-2E9C-101B-9397-08002B2CF9AE}" pid="87" name="MXcon_TravelCap">
    <vt:lpwstr/>
  </property>
  <property fmtid="{D5CDD505-2E9C-101B-9397-08002B2CF9AE}" pid="88" name="MXcon_TravelCost">
    <vt:lpwstr>False</vt:lpwstr>
  </property>
  <property fmtid="{D5CDD505-2E9C-101B-9397-08002B2CF9AE}" pid="89" name="MXcon_Country">
    <vt:lpwstr>Sweden</vt:lpwstr>
  </property>
  <property fmtid="{D5CDD505-2E9C-101B-9397-08002B2CF9AE}" pid="90" name="MXcon_Currency">
    <vt:lpwstr>SEK</vt:lpwstr>
  </property>
  <property fmtid="{D5CDD505-2E9C-101B-9397-08002B2CF9AE}" pid="91" name="MXcon_NameOfConsultant">
    <vt:lpwstr/>
  </property>
  <property fmtid="{D5CDD505-2E9C-101B-9397-08002B2CF9AE}" pid="92" name="MXcon_AccommodationCap">
    <vt:lpwstr/>
  </property>
  <property fmtid="{D5CDD505-2E9C-101B-9397-08002B2CF9AE}" pid="93" name="MXcon_AccommodationCost">
    <vt:lpwstr>False</vt:lpwstr>
  </property>
  <property fmtid="{D5CDD505-2E9C-101B-9397-08002B2CF9AE}" pid="94" name="MXcon_AdditionalSpecialConditions">
    <vt:lpwstr/>
  </property>
  <property fmtid="{D5CDD505-2E9C-101B-9397-08002B2CF9AE}" pid="95" name="MXcon_ApprovedByLineManager">
    <vt:lpwstr>False</vt:lpwstr>
  </property>
  <property fmtid="{D5CDD505-2E9C-101B-9397-08002B2CF9AE}" pid="96" name="MXcon_BackgroundInformation">
    <vt:lpwstr/>
  </property>
  <property fmtid="{D5CDD505-2E9C-101B-9397-08002B2CF9AE}" pid="97" name="MXcon_CallOffFromFrameworkAgreement">
    <vt:lpwstr>False</vt:lpwstr>
  </property>
  <property fmtid="{D5CDD505-2E9C-101B-9397-08002B2CF9AE}" pid="98" name="MXActual_state_Release">
    <vt:lpwstr>N/A</vt:lpwstr>
  </property>
  <property fmtid="{D5CDD505-2E9C-101B-9397-08002B2CF9AE}" pid="99" name="MXSignatures_state_Release">
    <vt:lpwstr/>
  </property>
  <property fmtid="{D5CDD505-2E9C-101B-9397-08002B2CF9AE}" pid="100" name="MXRev">
    <vt:lpwstr>1</vt:lpwstr>
  </property>
  <property fmtid="{D5CDD505-2E9C-101B-9397-08002B2CF9AE}" pid="101" name="MXTemplateName">
    <vt:lpwstr>ESS-0060987</vt:lpwstr>
  </property>
  <property fmtid="{D5CDD505-2E9C-101B-9397-08002B2CF9AE}" pid="102" name="MXTemplateReleaseDate">
    <vt:lpwstr>Apr 8, 2017</vt:lpwstr>
  </property>
  <property fmtid="{D5CDD505-2E9C-101B-9397-08002B2CF9AE}" pid="103" name="MXTemplateRev">
    <vt:lpwstr>3</vt:lpwstr>
  </property>
  <property fmtid="{D5CDD505-2E9C-101B-9397-08002B2CF9AE}" pid="104" name="MXTemplateTitle">
    <vt:lpwstr>Report</vt:lpwstr>
  </property>
  <property fmtid="{D5CDD505-2E9C-101B-9397-08002B2CF9AE}" pid="105" name="MXFile Created Date">
    <vt:lpwstr/>
  </property>
  <property fmtid="{D5CDD505-2E9C-101B-9397-08002B2CF9AE}" pid="106" name="MXFile Dimension">
    <vt:lpwstr/>
  </property>
  <property fmtid="{D5CDD505-2E9C-101B-9397-08002B2CF9AE}" pid="107" name="MXFile Duration">
    <vt:lpwstr>0.0</vt:lpwstr>
  </property>
  <property fmtid="{D5CDD505-2E9C-101B-9397-08002B2CF9AE}" pid="108" name="MXFile Modified Date">
    <vt:lpwstr/>
  </property>
  <property fmtid="{D5CDD505-2E9C-101B-9397-08002B2CF9AE}" pid="109" name="MXFile Size">
    <vt:lpwstr>0</vt:lpwstr>
  </property>
  <property fmtid="{D5CDD505-2E9C-101B-9397-08002B2CF9AE}" pid="110" name="MXFile Type">
    <vt:lpwstr/>
  </property>
  <property fmtid="{D5CDD505-2E9C-101B-9397-08002B2CF9AE}" pid="111" name="MXess_LevelOfMaturity">
    <vt:lpwstr/>
  </property>
  <property fmtid="{D5CDD505-2E9C-101B-9397-08002B2CF9AE}" pid="112" name="MXdmg_Stamp">
    <vt:lpwstr>No</vt:lpwstr>
  </property>
  <property fmtid="{D5CDD505-2E9C-101B-9397-08002B2CF9AE}" pid="113" name="MXdmg_SystemId">
    <vt:lpwstr/>
  </property>
  <property fmtid="{D5CDD505-2E9C-101B-9397-08002B2CF9AE}" pid="114" name="MXdmg_WorkflowType">
    <vt:lpwstr>Release</vt:lpwstr>
  </property>
</Properties>
</file>